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01A" w:rsidRPr="00CC301A" w:rsidRDefault="00CC301A" w:rsidP="00CC301A">
      <w:pPr>
        <w:jc w:val="right"/>
        <w:rPr>
          <w:b/>
          <w:szCs w:val="24"/>
        </w:rPr>
      </w:pPr>
      <w:r w:rsidRPr="00CC301A">
        <w:rPr>
          <w:b/>
          <w:szCs w:val="24"/>
        </w:rPr>
        <w:t>Ieinteresētajiem piegādātājiem</w:t>
      </w:r>
    </w:p>
    <w:p w:rsidR="00CC301A" w:rsidRDefault="00CC301A" w:rsidP="00387D7E">
      <w:pPr>
        <w:jc w:val="both"/>
        <w:rPr>
          <w:szCs w:val="24"/>
        </w:rPr>
      </w:pPr>
    </w:p>
    <w:p w:rsidR="00573167" w:rsidRDefault="00A543AB" w:rsidP="00387D7E">
      <w:pPr>
        <w:jc w:val="both"/>
        <w:rPr>
          <w:szCs w:val="24"/>
        </w:rPr>
      </w:pPr>
      <w:r>
        <w:rPr>
          <w:szCs w:val="24"/>
        </w:rPr>
        <w:t>Elektronikas un datorzinātņu institūts informē, ka 2017.gada 2</w:t>
      </w:r>
      <w:r w:rsidR="003C1F4B">
        <w:rPr>
          <w:szCs w:val="24"/>
        </w:rPr>
        <w:t>6</w:t>
      </w:r>
      <w:r>
        <w:rPr>
          <w:szCs w:val="24"/>
        </w:rPr>
        <w:t xml:space="preserve">.septembrī ir saņemti jautājumi par </w:t>
      </w:r>
      <w:r w:rsidRPr="00876E76">
        <w:rPr>
          <w:szCs w:val="24"/>
        </w:rPr>
        <w:t>iepirkuma “</w:t>
      </w:r>
      <w:hyperlink r:id="rId9" w:tgtFrame="_blank" w:history="1">
        <w:r w:rsidRPr="00876E76">
          <w:rPr>
            <w:szCs w:val="24"/>
          </w:rPr>
          <w:t>Tehniski</w:t>
        </w:r>
      </w:hyperlink>
      <w:r w:rsidRPr="00876E76">
        <w:rPr>
          <w:szCs w:val="24"/>
        </w:rPr>
        <w:t xml:space="preserve"> ekonomiskās </w:t>
      </w:r>
      <w:proofErr w:type="spellStart"/>
      <w:r w:rsidRPr="00876E76">
        <w:rPr>
          <w:szCs w:val="24"/>
        </w:rPr>
        <w:t>priekšizpētes</w:t>
      </w:r>
      <w:proofErr w:type="spellEnd"/>
      <w:r w:rsidRPr="00876E76">
        <w:rPr>
          <w:szCs w:val="24"/>
        </w:rPr>
        <w:t xml:space="preserve"> veikšana un </w:t>
      </w:r>
      <w:proofErr w:type="spellStart"/>
      <w:r w:rsidRPr="00876E76">
        <w:rPr>
          <w:szCs w:val="24"/>
        </w:rPr>
        <w:t>komercializācijas</w:t>
      </w:r>
      <w:proofErr w:type="spellEnd"/>
      <w:r w:rsidRPr="00876E76">
        <w:rPr>
          <w:szCs w:val="24"/>
        </w:rPr>
        <w:t xml:space="preserve"> stratēģijas izstrāde projektu „</w:t>
      </w:r>
      <w:proofErr w:type="spellStart"/>
      <w:r w:rsidRPr="00876E76">
        <w:rPr>
          <w:szCs w:val="24"/>
        </w:rPr>
        <w:t>Ultra</w:t>
      </w:r>
      <w:proofErr w:type="spellEnd"/>
      <w:r w:rsidRPr="00876E76">
        <w:rPr>
          <w:szCs w:val="24"/>
        </w:rPr>
        <w:t xml:space="preserve"> platjoslas impulsu radara sensors” (Projekta </w:t>
      </w:r>
      <w:proofErr w:type="spellStart"/>
      <w:r w:rsidRPr="00876E76">
        <w:rPr>
          <w:szCs w:val="24"/>
        </w:rPr>
        <w:t>Nr</w:t>
      </w:r>
      <w:proofErr w:type="spellEnd"/>
      <w:r w:rsidRPr="00876E76">
        <w:rPr>
          <w:szCs w:val="24"/>
        </w:rPr>
        <w:t xml:space="preserve">. KC-PI-2017/26) un „3D formu jūtīgs audums” (Projekta </w:t>
      </w:r>
      <w:proofErr w:type="spellStart"/>
      <w:r w:rsidRPr="00876E76">
        <w:rPr>
          <w:szCs w:val="24"/>
        </w:rPr>
        <w:t>Nr</w:t>
      </w:r>
      <w:proofErr w:type="spellEnd"/>
      <w:r w:rsidRPr="00876E76">
        <w:rPr>
          <w:szCs w:val="24"/>
        </w:rPr>
        <w:t xml:space="preserve">. KC-PI-2017/25) </w:t>
      </w:r>
      <w:proofErr w:type="spellStart"/>
      <w:r w:rsidRPr="00876E76">
        <w:rPr>
          <w:szCs w:val="24"/>
        </w:rPr>
        <w:t>ietvaros”(ID</w:t>
      </w:r>
      <w:proofErr w:type="spellEnd"/>
      <w:r w:rsidRPr="00876E76">
        <w:rPr>
          <w:szCs w:val="24"/>
        </w:rPr>
        <w:t xml:space="preserve"> </w:t>
      </w:r>
      <w:proofErr w:type="spellStart"/>
      <w:r w:rsidRPr="00876E76">
        <w:rPr>
          <w:szCs w:val="24"/>
        </w:rPr>
        <w:t>Nr</w:t>
      </w:r>
      <w:proofErr w:type="spellEnd"/>
      <w:r w:rsidRPr="00876E76">
        <w:rPr>
          <w:szCs w:val="24"/>
        </w:rPr>
        <w:t>. EDI 2017/9) nolikumu</w:t>
      </w:r>
      <w:r>
        <w:rPr>
          <w:szCs w:val="24"/>
        </w:rPr>
        <w:t xml:space="preserve"> un sniedz atbildes uz uzdotajiem jautājumiem. </w:t>
      </w:r>
    </w:p>
    <w:p w:rsidR="00A543AB" w:rsidRPr="00876E76" w:rsidRDefault="00A543AB" w:rsidP="00387D7E">
      <w:pPr>
        <w:jc w:val="both"/>
        <w:rPr>
          <w:szCs w:val="24"/>
        </w:rPr>
      </w:pPr>
    </w:p>
    <w:p w:rsidR="00381AB3" w:rsidRPr="003469D6" w:rsidRDefault="00381AB3" w:rsidP="00901AC8">
      <w:pPr>
        <w:pStyle w:val="FootnoteText"/>
        <w:numPr>
          <w:ilvl w:val="0"/>
          <w:numId w:val="2"/>
        </w:numPr>
        <w:spacing w:after="120"/>
        <w:ind w:right="-199"/>
        <w:jc w:val="both"/>
        <w:rPr>
          <w:szCs w:val="24"/>
        </w:rPr>
      </w:pPr>
      <w:r w:rsidRPr="00876E76">
        <w:rPr>
          <w:szCs w:val="24"/>
        </w:rPr>
        <w:t xml:space="preserve">Nolikuma 18.4.punktā norādīts, ka pretendentam jābūt pieredzei projektu tehniski ekonomiskās priekšizpētes veikšanā un komercializācijas stratēģijas izstrādē vai līdzīga satura dokumentu izstrādē. </w:t>
      </w:r>
      <w:r w:rsidRPr="00876E76">
        <w:rPr>
          <w:b/>
          <w:szCs w:val="24"/>
        </w:rPr>
        <w:t xml:space="preserve">Vai tas nozīmē, ka, lai pretendents kvalificētos iepirkumam tam jābūt pieredzei gan tehniski ekonomiskās </w:t>
      </w:r>
      <w:proofErr w:type="spellStart"/>
      <w:r w:rsidRPr="00876E76">
        <w:rPr>
          <w:b/>
          <w:szCs w:val="24"/>
        </w:rPr>
        <w:t>priekšizpetes</w:t>
      </w:r>
      <w:proofErr w:type="spellEnd"/>
      <w:r w:rsidRPr="00876E76">
        <w:rPr>
          <w:b/>
          <w:szCs w:val="24"/>
        </w:rPr>
        <w:t xml:space="preserve"> veikšanā, gan </w:t>
      </w:r>
      <w:proofErr w:type="spellStart"/>
      <w:r w:rsidRPr="00876E76">
        <w:rPr>
          <w:b/>
          <w:szCs w:val="24"/>
        </w:rPr>
        <w:t>komercializācijas</w:t>
      </w:r>
      <w:proofErr w:type="spellEnd"/>
      <w:r w:rsidRPr="00876E76">
        <w:rPr>
          <w:b/>
          <w:szCs w:val="24"/>
        </w:rPr>
        <w:t xml:space="preserve"> stratēģijas izstrādē (t.i., jāizpildās abām prasībām)? Un kas nolikuma ietvaros tiek saprasts ar pieredzi l</w:t>
      </w:r>
      <w:r w:rsidR="00E616DA" w:rsidRPr="00876E76">
        <w:rPr>
          <w:b/>
          <w:szCs w:val="24"/>
        </w:rPr>
        <w:t>īdzīga satura dokumentu izstrādē</w:t>
      </w:r>
      <w:r w:rsidRPr="00876E76">
        <w:rPr>
          <w:b/>
          <w:szCs w:val="24"/>
        </w:rPr>
        <w:t>? Kādu dokumentu izstrāde tiks atzīta par līdzvērtīgu?</w:t>
      </w:r>
    </w:p>
    <w:p w:rsidR="003469D6" w:rsidRPr="003469D6" w:rsidRDefault="003469D6" w:rsidP="003469D6">
      <w:pPr>
        <w:pStyle w:val="FootnoteText"/>
        <w:spacing w:after="120"/>
        <w:ind w:left="360" w:right="-199"/>
        <w:jc w:val="both"/>
        <w:rPr>
          <w:color w:val="0070C0"/>
          <w:szCs w:val="24"/>
          <w:u w:val="single"/>
        </w:rPr>
      </w:pPr>
      <w:r w:rsidRPr="003469D6">
        <w:rPr>
          <w:color w:val="0070C0"/>
          <w:szCs w:val="24"/>
          <w:u w:val="single"/>
        </w:rPr>
        <w:t>Atbilde:</w:t>
      </w:r>
    </w:p>
    <w:p w:rsidR="000701A9" w:rsidRDefault="00832A7A" w:rsidP="00BB260C">
      <w:pPr>
        <w:pStyle w:val="FootnoteText"/>
        <w:spacing w:after="120"/>
        <w:ind w:left="360" w:right="-199"/>
        <w:jc w:val="both"/>
        <w:rPr>
          <w:color w:val="0070C0"/>
          <w:szCs w:val="24"/>
        </w:rPr>
      </w:pPr>
      <w:r w:rsidRPr="00876E76">
        <w:rPr>
          <w:color w:val="0070C0"/>
          <w:szCs w:val="24"/>
        </w:rPr>
        <w:t xml:space="preserve">Lai </w:t>
      </w:r>
      <w:r w:rsidR="00C23F2E">
        <w:rPr>
          <w:color w:val="0070C0"/>
          <w:szCs w:val="24"/>
        </w:rPr>
        <w:t>P</w:t>
      </w:r>
      <w:r w:rsidRPr="00876E76">
        <w:rPr>
          <w:color w:val="0070C0"/>
          <w:szCs w:val="24"/>
        </w:rPr>
        <w:t>retendents kvalificētos iepirkumam a</w:t>
      </w:r>
      <w:r w:rsidR="00C924D9" w:rsidRPr="00876E76">
        <w:rPr>
          <w:color w:val="0070C0"/>
          <w:szCs w:val="24"/>
        </w:rPr>
        <w:t>tbilstoši nolikuma 18.</w:t>
      </w:r>
      <w:r w:rsidR="003D610D">
        <w:rPr>
          <w:color w:val="0070C0"/>
          <w:szCs w:val="24"/>
        </w:rPr>
        <w:t xml:space="preserve">4. </w:t>
      </w:r>
      <w:r w:rsidR="00C924D9" w:rsidRPr="00876E76">
        <w:rPr>
          <w:color w:val="0070C0"/>
          <w:szCs w:val="24"/>
        </w:rPr>
        <w:t xml:space="preserve">punktam, </w:t>
      </w:r>
      <w:r w:rsidR="003D610D">
        <w:rPr>
          <w:color w:val="0070C0"/>
          <w:szCs w:val="24"/>
        </w:rPr>
        <w:t xml:space="preserve">pretendentam ir jābūt pieredzei gan </w:t>
      </w:r>
      <w:r w:rsidR="00C924D9" w:rsidRPr="00876E76">
        <w:rPr>
          <w:color w:val="0070C0"/>
          <w:szCs w:val="24"/>
        </w:rPr>
        <w:t xml:space="preserve">tehniskās ekonomiskās </w:t>
      </w:r>
      <w:proofErr w:type="spellStart"/>
      <w:r w:rsidR="00C924D9" w:rsidRPr="00876E76">
        <w:rPr>
          <w:color w:val="0070C0"/>
          <w:szCs w:val="24"/>
        </w:rPr>
        <w:t>priekšizpētes</w:t>
      </w:r>
      <w:proofErr w:type="spellEnd"/>
      <w:r w:rsidR="00C924D9" w:rsidRPr="00876E76">
        <w:rPr>
          <w:color w:val="0070C0"/>
          <w:szCs w:val="24"/>
        </w:rPr>
        <w:t xml:space="preserve"> veikšanā</w:t>
      </w:r>
      <w:r w:rsidR="003C1F4B">
        <w:rPr>
          <w:color w:val="0070C0"/>
          <w:szCs w:val="24"/>
        </w:rPr>
        <w:t>,</w:t>
      </w:r>
      <w:r w:rsidR="00C924D9" w:rsidRPr="00876E76">
        <w:rPr>
          <w:color w:val="0070C0"/>
          <w:szCs w:val="24"/>
        </w:rPr>
        <w:t xml:space="preserve"> </w:t>
      </w:r>
      <w:r w:rsidR="003D610D">
        <w:rPr>
          <w:color w:val="0070C0"/>
          <w:szCs w:val="24"/>
        </w:rPr>
        <w:t>gan</w:t>
      </w:r>
      <w:r w:rsidR="00C924D9" w:rsidRPr="00876E76">
        <w:rPr>
          <w:color w:val="0070C0"/>
          <w:szCs w:val="24"/>
        </w:rPr>
        <w:t xml:space="preserve"> </w:t>
      </w:r>
      <w:proofErr w:type="spellStart"/>
      <w:r w:rsidR="00C924D9" w:rsidRPr="00876E76">
        <w:rPr>
          <w:color w:val="0070C0"/>
          <w:szCs w:val="24"/>
        </w:rPr>
        <w:t>komercializācijas</w:t>
      </w:r>
      <w:proofErr w:type="spellEnd"/>
      <w:r w:rsidR="00C924D9" w:rsidRPr="00876E76">
        <w:rPr>
          <w:color w:val="0070C0"/>
          <w:szCs w:val="24"/>
        </w:rPr>
        <w:t xml:space="preserve"> stratēģijas izstrādē. </w:t>
      </w:r>
    </w:p>
    <w:p w:rsidR="00BB260C" w:rsidRPr="00876E76" w:rsidRDefault="00C8758F" w:rsidP="00BB260C">
      <w:pPr>
        <w:pStyle w:val="FootnoteText"/>
        <w:spacing w:after="120"/>
        <w:ind w:left="360" w:right="-199"/>
        <w:jc w:val="both"/>
        <w:rPr>
          <w:color w:val="0070C0"/>
          <w:szCs w:val="24"/>
        </w:rPr>
      </w:pPr>
      <w:r w:rsidRPr="00876E76">
        <w:rPr>
          <w:color w:val="0070C0"/>
          <w:szCs w:val="24"/>
        </w:rPr>
        <w:t>Par</w:t>
      </w:r>
      <w:r w:rsidR="00C23F2E">
        <w:rPr>
          <w:color w:val="0070C0"/>
          <w:szCs w:val="24"/>
        </w:rPr>
        <w:t xml:space="preserve"> </w:t>
      </w:r>
      <w:r w:rsidR="00C23F2E" w:rsidRPr="00876E76">
        <w:rPr>
          <w:color w:val="0070C0"/>
          <w:szCs w:val="24"/>
        </w:rPr>
        <w:t xml:space="preserve">„Tehniski ekonomiskai </w:t>
      </w:r>
      <w:proofErr w:type="spellStart"/>
      <w:r w:rsidR="00C23F2E" w:rsidRPr="00876E76">
        <w:rPr>
          <w:color w:val="0070C0"/>
          <w:szCs w:val="24"/>
        </w:rPr>
        <w:t>priekšizpētei</w:t>
      </w:r>
      <w:proofErr w:type="spellEnd"/>
      <w:r w:rsidR="00C23F2E">
        <w:rPr>
          <w:color w:val="0070C0"/>
          <w:szCs w:val="24"/>
        </w:rPr>
        <w:t>”</w:t>
      </w:r>
      <w:r w:rsidRPr="00876E76">
        <w:rPr>
          <w:color w:val="0070C0"/>
          <w:szCs w:val="24"/>
        </w:rPr>
        <w:t xml:space="preserve"> l</w:t>
      </w:r>
      <w:r w:rsidR="00BB260C" w:rsidRPr="00876E76">
        <w:rPr>
          <w:color w:val="0070C0"/>
          <w:szCs w:val="24"/>
        </w:rPr>
        <w:t>īdzvērtīg</w:t>
      </w:r>
      <w:r w:rsidR="001A7230" w:rsidRPr="00876E76">
        <w:rPr>
          <w:color w:val="0070C0"/>
          <w:szCs w:val="24"/>
        </w:rPr>
        <w:t>u</w:t>
      </w:r>
      <w:r w:rsidR="00BB260C" w:rsidRPr="00876E76">
        <w:rPr>
          <w:color w:val="0070C0"/>
          <w:szCs w:val="24"/>
        </w:rPr>
        <w:t xml:space="preserve"> dokument</w:t>
      </w:r>
      <w:r w:rsidRPr="00876E76">
        <w:rPr>
          <w:color w:val="0070C0"/>
          <w:szCs w:val="24"/>
        </w:rPr>
        <w:t>u</w:t>
      </w:r>
      <w:r w:rsidR="00BB260C" w:rsidRPr="00876E76">
        <w:rPr>
          <w:color w:val="0070C0"/>
          <w:szCs w:val="24"/>
        </w:rPr>
        <w:t xml:space="preserve">” </w:t>
      </w:r>
      <w:r w:rsidRPr="00876E76">
        <w:rPr>
          <w:color w:val="0070C0"/>
          <w:szCs w:val="24"/>
        </w:rPr>
        <w:t>tiek uzskatīta</w:t>
      </w:r>
      <w:r w:rsidR="00BB260C" w:rsidRPr="00876E76">
        <w:rPr>
          <w:color w:val="0070C0"/>
          <w:szCs w:val="24"/>
        </w:rPr>
        <w:t xml:space="preserve"> tā</w:t>
      </w:r>
      <w:r w:rsidR="00A07618" w:rsidRPr="00876E76">
        <w:rPr>
          <w:color w:val="0070C0"/>
          <w:szCs w:val="24"/>
        </w:rPr>
        <w:t>da dokumenta izstrāde, kas ietver projekta potenciāla novērtējumu un analīzi  ar mērķi atvieglot lēmuma pieņemšanas procesu, objektīvi un racionāli apzinot projekta priekšrocības, trūkumus, iespējas un draudus, kā arī nosakot tā īstenošanai vajadzīgos resursus un tā izdošanās izredzes.</w:t>
      </w:r>
      <w:r w:rsidR="004803AA" w:rsidRPr="00876E76">
        <w:rPr>
          <w:color w:val="0070C0"/>
          <w:szCs w:val="24"/>
        </w:rPr>
        <w:t xml:space="preserve"> </w:t>
      </w:r>
    </w:p>
    <w:p w:rsidR="00C07190" w:rsidRDefault="001A7230" w:rsidP="001A7230">
      <w:pPr>
        <w:pStyle w:val="CommentText"/>
        <w:ind w:left="360"/>
        <w:jc w:val="both"/>
        <w:rPr>
          <w:color w:val="0070C0"/>
          <w:sz w:val="24"/>
          <w:szCs w:val="24"/>
        </w:rPr>
      </w:pPr>
      <w:r w:rsidRPr="00876E76">
        <w:rPr>
          <w:color w:val="0070C0"/>
          <w:sz w:val="24"/>
          <w:szCs w:val="24"/>
        </w:rPr>
        <w:t xml:space="preserve">Par </w:t>
      </w:r>
      <w:r w:rsidR="00C23F2E" w:rsidRPr="00876E76">
        <w:rPr>
          <w:color w:val="0070C0"/>
          <w:sz w:val="24"/>
          <w:szCs w:val="24"/>
        </w:rPr>
        <w:t xml:space="preserve">„Komercializācijas stratēģijai” </w:t>
      </w:r>
      <w:r w:rsidRPr="00876E76">
        <w:rPr>
          <w:color w:val="0070C0"/>
          <w:sz w:val="24"/>
          <w:szCs w:val="24"/>
        </w:rPr>
        <w:t>l</w:t>
      </w:r>
      <w:r w:rsidR="00C8758F" w:rsidRPr="00876E76">
        <w:rPr>
          <w:color w:val="0070C0"/>
          <w:sz w:val="24"/>
          <w:szCs w:val="24"/>
        </w:rPr>
        <w:t>īdzvērtīg</w:t>
      </w:r>
      <w:r w:rsidRPr="00876E76">
        <w:rPr>
          <w:color w:val="0070C0"/>
          <w:sz w:val="24"/>
          <w:szCs w:val="24"/>
        </w:rPr>
        <w:t xml:space="preserve">u </w:t>
      </w:r>
      <w:r w:rsidR="00C8758F" w:rsidRPr="00876E76">
        <w:rPr>
          <w:color w:val="0070C0"/>
          <w:sz w:val="24"/>
          <w:szCs w:val="24"/>
        </w:rPr>
        <w:t>dokument</w:t>
      </w:r>
      <w:r w:rsidRPr="00876E76">
        <w:rPr>
          <w:color w:val="0070C0"/>
          <w:sz w:val="24"/>
          <w:szCs w:val="24"/>
        </w:rPr>
        <w:t xml:space="preserve">u </w:t>
      </w:r>
      <w:r w:rsidR="00C8758F" w:rsidRPr="00876E76">
        <w:rPr>
          <w:color w:val="0070C0"/>
          <w:sz w:val="24"/>
          <w:szCs w:val="24"/>
        </w:rPr>
        <w:t xml:space="preserve">tiek uzskatīta tāda dokumenta izstrāde, kas ietver </w:t>
      </w:r>
      <w:r w:rsidRPr="00876E76">
        <w:rPr>
          <w:color w:val="0070C0"/>
          <w:sz w:val="24"/>
          <w:szCs w:val="24"/>
        </w:rPr>
        <w:t xml:space="preserve">konkrēta produkta vai tehnoloģijas aprakstu, kurā tiek atainoti secīgi soļi produkta vai tehnoloģijas attīstīšanai no koncepcijas līdz ieviešanai tirgū, kā arī izvēle starp rūpnieciskā īpašuma izmantošanas tiesību piešķiršanu citai personai (licences līgums, patenta pārdošana) vai jauna komersanta veidošanu uz zinātniskās izstrādnes bāzes, un ieteikts, kāda informācija jāsagatavo, kā iegūt potenciālo licenciātu vai investīciju fondu uzmanību un piedāvāt tiem izstrādni vai tehnoloģiju. </w:t>
      </w:r>
    </w:p>
    <w:p w:rsidR="00C07190" w:rsidRDefault="00C07190" w:rsidP="001A7230">
      <w:pPr>
        <w:pStyle w:val="CommentText"/>
        <w:ind w:left="360"/>
        <w:jc w:val="both"/>
        <w:rPr>
          <w:color w:val="0070C0"/>
          <w:sz w:val="24"/>
          <w:szCs w:val="24"/>
        </w:rPr>
      </w:pPr>
    </w:p>
    <w:p w:rsidR="00381AB3" w:rsidRDefault="000624A2" w:rsidP="002B58A3">
      <w:pPr>
        <w:pStyle w:val="FootnoteText"/>
        <w:numPr>
          <w:ilvl w:val="0"/>
          <w:numId w:val="2"/>
        </w:numPr>
        <w:spacing w:after="120"/>
        <w:ind w:right="-199"/>
        <w:jc w:val="both"/>
        <w:rPr>
          <w:szCs w:val="24"/>
        </w:rPr>
      </w:pPr>
      <w:r w:rsidRPr="00876E76">
        <w:rPr>
          <w:szCs w:val="24"/>
        </w:rPr>
        <w:t xml:space="preserve">Saskaņā ar 18.5.1.apakšpunktu, </w:t>
      </w:r>
      <w:r w:rsidR="00E703B8" w:rsidRPr="00876E76">
        <w:rPr>
          <w:szCs w:val="24"/>
        </w:rPr>
        <w:t xml:space="preserve">pretendentam jānodrošina eksperts(i) tehniski ekonomiskās priekšizpētes veikšanai, </w:t>
      </w:r>
      <w:r w:rsidR="00E703B8" w:rsidRPr="00876E76">
        <w:rPr>
          <w:szCs w:val="24"/>
          <w:u w:val="single"/>
        </w:rPr>
        <w:t>kas kopā izpilda</w:t>
      </w:r>
      <w:r w:rsidR="00E703B8" w:rsidRPr="00876E76">
        <w:rPr>
          <w:szCs w:val="24"/>
        </w:rPr>
        <w:t xml:space="preserve"> nolikuma 18.5.1.1. un 18.5.1.2.apakšpunkta ietvertās prasības. Līdzīgs regulējums iekļauts arī nolikuma 18.5.2.ap</w:t>
      </w:r>
      <w:r w:rsidR="00AE162F" w:rsidRPr="00876E76">
        <w:rPr>
          <w:szCs w:val="24"/>
        </w:rPr>
        <w:t xml:space="preserve">akšpunktā attiecībā uz </w:t>
      </w:r>
      <w:proofErr w:type="spellStart"/>
      <w:r w:rsidR="00AE162F" w:rsidRPr="00876E76">
        <w:rPr>
          <w:szCs w:val="24"/>
        </w:rPr>
        <w:t>ekspertu</w:t>
      </w:r>
      <w:r w:rsidR="00E703B8" w:rsidRPr="00876E76">
        <w:rPr>
          <w:szCs w:val="24"/>
        </w:rPr>
        <w:t>(iem</w:t>
      </w:r>
      <w:proofErr w:type="spellEnd"/>
      <w:r w:rsidR="00E703B8" w:rsidRPr="00876E76">
        <w:rPr>
          <w:szCs w:val="24"/>
        </w:rPr>
        <w:t xml:space="preserve">) </w:t>
      </w:r>
      <w:proofErr w:type="spellStart"/>
      <w:r w:rsidR="00E703B8" w:rsidRPr="00876E76">
        <w:rPr>
          <w:szCs w:val="24"/>
        </w:rPr>
        <w:t>komercializācijas</w:t>
      </w:r>
      <w:proofErr w:type="spellEnd"/>
      <w:r w:rsidR="00E703B8" w:rsidRPr="00876E76">
        <w:rPr>
          <w:szCs w:val="24"/>
        </w:rPr>
        <w:t xml:space="preserve"> stratēģijas izstrādei. </w:t>
      </w:r>
      <w:r w:rsidR="00E703B8" w:rsidRPr="00876E76">
        <w:rPr>
          <w:b/>
          <w:szCs w:val="24"/>
        </w:rPr>
        <w:t>Vai tas nozīmē, ka, ja, piemēram, pretendents piedāvā, 2 ekspertus tehniski ekonomiskās priekšizpētes veikšanai, no kuriem vienam ir nolikuma 18.5.1.1.apakšpunktā norādītā pieredze, savukārt otram – nolikuma 18.5.1.2.apakšpunktā norādītā izglītība, šādi eksperti tiks atzīti par atbilstošiem nolikuma prasībām?</w:t>
      </w:r>
      <w:r w:rsidR="00E703B8" w:rsidRPr="00876E76">
        <w:rPr>
          <w:szCs w:val="24"/>
        </w:rPr>
        <w:t xml:space="preserve"> </w:t>
      </w:r>
    </w:p>
    <w:p w:rsidR="003469D6" w:rsidRPr="003469D6" w:rsidRDefault="003469D6" w:rsidP="003469D6">
      <w:pPr>
        <w:pStyle w:val="FootnoteText"/>
        <w:spacing w:after="120"/>
        <w:ind w:left="360" w:right="-199"/>
        <w:jc w:val="both"/>
        <w:rPr>
          <w:color w:val="0070C0"/>
          <w:szCs w:val="24"/>
          <w:u w:val="single"/>
        </w:rPr>
      </w:pPr>
      <w:r w:rsidRPr="003469D6">
        <w:rPr>
          <w:color w:val="0070C0"/>
          <w:szCs w:val="24"/>
          <w:u w:val="single"/>
        </w:rPr>
        <w:t>Atbilde:</w:t>
      </w:r>
    </w:p>
    <w:p w:rsidR="00CC3659" w:rsidRDefault="00C23F2E" w:rsidP="00CC3659">
      <w:pPr>
        <w:pStyle w:val="FootnoteText"/>
        <w:spacing w:after="120"/>
        <w:ind w:left="360" w:right="-199"/>
        <w:jc w:val="both"/>
        <w:rPr>
          <w:color w:val="0070C0"/>
          <w:szCs w:val="24"/>
        </w:rPr>
      </w:pPr>
      <w:r>
        <w:rPr>
          <w:color w:val="0070C0"/>
          <w:szCs w:val="24"/>
        </w:rPr>
        <w:lastRenderedPageBreak/>
        <w:t>Jā. Tas nozīmē, ka P</w:t>
      </w:r>
      <w:r w:rsidR="00CC3659" w:rsidRPr="00876E76">
        <w:rPr>
          <w:color w:val="0070C0"/>
          <w:szCs w:val="24"/>
        </w:rPr>
        <w:t xml:space="preserve">retendents </w:t>
      </w:r>
      <w:r>
        <w:rPr>
          <w:color w:val="0070C0"/>
          <w:szCs w:val="24"/>
        </w:rPr>
        <w:t>T</w:t>
      </w:r>
      <w:r w:rsidR="00CC3659" w:rsidRPr="00876E76">
        <w:rPr>
          <w:color w:val="0070C0"/>
          <w:szCs w:val="24"/>
        </w:rPr>
        <w:t xml:space="preserve">ehniski ekonomiskās priekšizpētes veikšanai nodrošina </w:t>
      </w:r>
      <w:r w:rsidR="00A63F5D" w:rsidRPr="00876E76">
        <w:rPr>
          <w:color w:val="0070C0"/>
          <w:szCs w:val="24"/>
        </w:rPr>
        <w:t xml:space="preserve">vienu vai vairākus </w:t>
      </w:r>
      <w:r w:rsidR="00CC3659" w:rsidRPr="00876E76">
        <w:rPr>
          <w:color w:val="0070C0"/>
          <w:szCs w:val="24"/>
        </w:rPr>
        <w:t>ekspertu</w:t>
      </w:r>
      <w:r w:rsidR="00A63F5D" w:rsidRPr="00876E76">
        <w:rPr>
          <w:color w:val="0070C0"/>
          <w:szCs w:val="24"/>
        </w:rPr>
        <w:t>s</w:t>
      </w:r>
      <w:r w:rsidR="00CC3659" w:rsidRPr="00876E76">
        <w:rPr>
          <w:color w:val="0070C0"/>
          <w:szCs w:val="24"/>
        </w:rPr>
        <w:t xml:space="preserve">, </w:t>
      </w:r>
      <w:r w:rsidR="00C07190">
        <w:rPr>
          <w:color w:val="0070C0"/>
          <w:szCs w:val="24"/>
        </w:rPr>
        <w:t xml:space="preserve">kuri kopā izpilda 18.5.1.1. un 18.5.1.2. apakšpunktos noteiktās kvalifikācijas prasības. </w:t>
      </w:r>
      <w:r w:rsidR="00CC3659" w:rsidRPr="00876E76">
        <w:rPr>
          <w:color w:val="0070C0"/>
          <w:szCs w:val="24"/>
        </w:rPr>
        <w:t>T</w:t>
      </w:r>
      <w:r>
        <w:rPr>
          <w:color w:val="0070C0"/>
          <w:szCs w:val="24"/>
        </w:rPr>
        <w:t xml:space="preserve">as pats nosacījums attiecas </w:t>
      </w:r>
      <w:r w:rsidR="00C07190">
        <w:rPr>
          <w:color w:val="0070C0"/>
          <w:szCs w:val="24"/>
        </w:rPr>
        <w:t xml:space="preserve">arī </w:t>
      </w:r>
      <w:r>
        <w:rPr>
          <w:color w:val="0070C0"/>
          <w:szCs w:val="24"/>
        </w:rPr>
        <w:t xml:space="preserve">uz </w:t>
      </w:r>
      <w:proofErr w:type="spellStart"/>
      <w:r>
        <w:rPr>
          <w:color w:val="0070C0"/>
          <w:szCs w:val="24"/>
        </w:rPr>
        <w:t>K</w:t>
      </w:r>
      <w:r w:rsidR="00CC3659" w:rsidRPr="00876E76">
        <w:rPr>
          <w:color w:val="0070C0"/>
          <w:szCs w:val="24"/>
        </w:rPr>
        <w:t>omercializācijas</w:t>
      </w:r>
      <w:proofErr w:type="spellEnd"/>
      <w:r w:rsidR="00CC3659" w:rsidRPr="00876E76">
        <w:rPr>
          <w:color w:val="0070C0"/>
          <w:szCs w:val="24"/>
        </w:rPr>
        <w:t xml:space="preserve"> stratēģijas izstrādi, kur </w:t>
      </w:r>
      <w:r>
        <w:rPr>
          <w:color w:val="0070C0"/>
          <w:szCs w:val="24"/>
        </w:rPr>
        <w:t>P</w:t>
      </w:r>
      <w:r w:rsidR="00CC3659" w:rsidRPr="00876E76">
        <w:rPr>
          <w:color w:val="0070C0"/>
          <w:szCs w:val="24"/>
        </w:rPr>
        <w:t>retendents nodr</w:t>
      </w:r>
      <w:r w:rsidR="00A63F5D" w:rsidRPr="00876E76">
        <w:rPr>
          <w:color w:val="0070C0"/>
          <w:szCs w:val="24"/>
        </w:rPr>
        <w:t>ošina vienu vai vairāku ekspertu</w:t>
      </w:r>
      <w:r w:rsidR="00CC3659" w:rsidRPr="00876E76">
        <w:rPr>
          <w:color w:val="0070C0"/>
          <w:szCs w:val="24"/>
        </w:rPr>
        <w:t xml:space="preserve"> piesaisti</w:t>
      </w:r>
      <w:r w:rsidR="00C07190">
        <w:rPr>
          <w:color w:val="0070C0"/>
          <w:szCs w:val="24"/>
        </w:rPr>
        <w:t>, kuri kopā izpilda</w:t>
      </w:r>
      <w:r w:rsidR="00A63F5D" w:rsidRPr="00876E76">
        <w:rPr>
          <w:color w:val="0070C0"/>
          <w:szCs w:val="24"/>
        </w:rPr>
        <w:t xml:space="preserve"> 18.5.2.1 </w:t>
      </w:r>
      <w:r w:rsidR="000701A9">
        <w:rPr>
          <w:color w:val="0070C0"/>
          <w:szCs w:val="24"/>
        </w:rPr>
        <w:t>un 18.5.2.2 apakšpunktos norādī</w:t>
      </w:r>
      <w:r w:rsidR="00C07190">
        <w:rPr>
          <w:color w:val="0070C0"/>
          <w:szCs w:val="24"/>
        </w:rPr>
        <w:t>tās</w:t>
      </w:r>
      <w:r w:rsidR="00A63F5D" w:rsidRPr="00876E76">
        <w:rPr>
          <w:color w:val="0070C0"/>
          <w:szCs w:val="24"/>
        </w:rPr>
        <w:t xml:space="preserve"> </w:t>
      </w:r>
      <w:r w:rsidR="00C07190">
        <w:rPr>
          <w:color w:val="0070C0"/>
          <w:szCs w:val="24"/>
        </w:rPr>
        <w:t xml:space="preserve">kvalifikācijas prasības. </w:t>
      </w:r>
    </w:p>
    <w:p w:rsidR="004D006D" w:rsidRPr="00876E76" w:rsidRDefault="00E703B8" w:rsidP="00901AC8">
      <w:pPr>
        <w:numPr>
          <w:ilvl w:val="0"/>
          <w:numId w:val="2"/>
        </w:numPr>
        <w:spacing w:after="120" w:line="240" w:lineRule="auto"/>
        <w:ind w:right="-199"/>
        <w:jc w:val="both"/>
        <w:rPr>
          <w:szCs w:val="24"/>
        </w:rPr>
      </w:pPr>
      <w:r w:rsidRPr="00876E76">
        <w:rPr>
          <w:szCs w:val="24"/>
        </w:rPr>
        <w:t xml:space="preserve">Atbilstoši nolikuma 18.6.4.punktam pretendentam jāiesniedz </w:t>
      </w:r>
      <w:r w:rsidRPr="00876E76">
        <w:rPr>
          <w:rStyle w:val="Emphasis"/>
          <w:i w:val="0"/>
          <w:color w:val="000000"/>
          <w:szCs w:val="24"/>
        </w:rPr>
        <w:t xml:space="preserve">vismaz viena atsauksme no klientiem par Nolikuma 18.5.1. punktā minētā </w:t>
      </w:r>
      <w:r w:rsidRPr="00876E76">
        <w:rPr>
          <w:rFonts w:cs="Times New Roman"/>
          <w:szCs w:val="24"/>
        </w:rPr>
        <w:t>Tehniski</w:t>
      </w:r>
      <w:r w:rsidRPr="00876E76">
        <w:rPr>
          <w:szCs w:val="24"/>
        </w:rPr>
        <w:t xml:space="preserve"> ekonomiskās priekšizpētes veikšanas vai līdzīga satura dokumentu izstrādē eksperta pieredzi, </w:t>
      </w:r>
      <w:r w:rsidR="00720C0C" w:rsidRPr="00876E76">
        <w:rPr>
          <w:szCs w:val="24"/>
        </w:rPr>
        <w:t>kas norādīta Nolikuma 18.5.1.1.</w:t>
      </w:r>
      <w:r w:rsidRPr="00876E76">
        <w:rPr>
          <w:szCs w:val="24"/>
        </w:rPr>
        <w:t xml:space="preserve">punktā. Iepirkumu uzraudzības birojs savā skaidrojumā “Par būtiskākajām un biežāk konstatētajām neatbilstībām iepirkuma procedūru dokumentācijā un norisē” (pieejams: https://www.iub.gov.lv/sites/default/files/upload/Biezak_konstat_kludas-072017.pdf) norādījis, ka atsauksmju pieprasīšana par pretendenta piesaistītajiem speciālistiem nav pamatota, jo parasti pasūtītāji atsauksmi izsniedz par paša izpildītāja darbību kopumā, neizdalot atsevišķi iesaistītā personāla veikuma kvalitāti. Attiecīgi pasūtītājam nav pamata pieprasīt atsauksmes par konkrētu speciālistu. </w:t>
      </w:r>
      <w:r w:rsidR="00720C0C" w:rsidRPr="00876E76">
        <w:rPr>
          <w:b/>
          <w:szCs w:val="24"/>
        </w:rPr>
        <w:t>Lūdzam skaidrot iepriekš minētās</w:t>
      </w:r>
      <w:r w:rsidRPr="00876E76">
        <w:rPr>
          <w:b/>
          <w:szCs w:val="24"/>
        </w:rPr>
        <w:t xml:space="preserve"> prasības pamatotību?</w:t>
      </w:r>
      <w:r w:rsidRPr="00876E76">
        <w:rPr>
          <w:szCs w:val="24"/>
        </w:rPr>
        <w:t xml:space="preserve"> </w:t>
      </w:r>
    </w:p>
    <w:p w:rsidR="003469D6" w:rsidRPr="003469D6" w:rsidRDefault="003469D6" w:rsidP="003469D6">
      <w:pPr>
        <w:pStyle w:val="FootnoteText"/>
        <w:spacing w:after="120"/>
        <w:ind w:left="360" w:right="-199"/>
        <w:jc w:val="both"/>
        <w:rPr>
          <w:color w:val="0070C0"/>
          <w:szCs w:val="24"/>
          <w:u w:val="single"/>
        </w:rPr>
      </w:pPr>
      <w:r w:rsidRPr="003469D6">
        <w:rPr>
          <w:color w:val="0070C0"/>
          <w:szCs w:val="24"/>
          <w:u w:val="single"/>
        </w:rPr>
        <w:t>Atbilde:</w:t>
      </w:r>
    </w:p>
    <w:p w:rsidR="00527B1E" w:rsidRPr="00876E76" w:rsidRDefault="00B74CFD" w:rsidP="00527B1E">
      <w:pPr>
        <w:pStyle w:val="ListParagraph"/>
        <w:ind w:left="360"/>
        <w:jc w:val="both"/>
        <w:rPr>
          <w:color w:val="0070C0"/>
          <w:szCs w:val="24"/>
        </w:rPr>
      </w:pPr>
      <w:r w:rsidRPr="00876E76">
        <w:rPr>
          <w:color w:val="0070C0"/>
          <w:szCs w:val="24"/>
        </w:rPr>
        <w:t>I</w:t>
      </w:r>
      <w:r w:rsidR="006F3C3C">
        <w:rPr>
          <w:color w:val="0070C0"/>
          <w:szCs w:val="24"/>
        </w:rPr>
        <w:t xml:space="preserve">epirkumu uzraudzības birojs savā </w:t>
      </w:r>
      <w:r w:rsidRPr="00876E76">
        <w:rPr>
          <w:color w:val="0070C0"/>
          <w:szCs w:val="24"/>
        </w:rPr>
        <w:t xml:space="preserve"> 2017. </w:t>
      </w:r>
      <w:r w:rsidR="006F3C3C">
        <w:rPr>
          <w:color w:val="0070C0"/>
          <w:szCs w:val="24"/>
        </w:rPr>
        <w:t xml:space="preserve">gada 11.jūlija </w:t>
      </w:r>
      <w:r w:rsidRPr="00876E76">
        <w:rPr>
          <w:color w:val="0070C0"/>
          <w:szCs w:val="24"/>
        </w:rPr>
        <w:t>skaidrojum</w:t>
      </w:r>
      <w:r w:rsidR="00770ABE">
        <w:rPr>
          <w:color w:val="0070C0"/>
          <w:szCs w:val="24"/>
        </w:rPr>
        <w:t>a</w:t>
      </w:r>
      <w:r w:rsidRPr="00876E76">
        <w:rPr>
          <w:color w:val="0070C0"/>
          <w:szCs w:val="24"/>
        </w:rPr>
        <w:t xml:space="preserve"> “Par būtiskākajām un biežāk konstatētajām neatbilstībām iepirkuma procedūru dokumentācijā un norisē” 39. punktā skaidro atsauksmju pieprasīšanu par </w:t>
      </w:r>
      <w:r w:rsidR="00C23F2E">
        <w:rPr>
          <w:color w:val="0070C0"/>
          <w:szCs w:val="24"/>
        </w:rPr>
        <w:t>P</w:t>
      </w:r>
      <w:r w:rsidRPr="00876E76">
        <w:rPr>
          <w:color w:val="0070C0"/>
          <w:szCs w:val="24"/>
        </w:rPr>
        <w:t>retendenta piesaistītajiem</w:t>
      </w:r>
      <w:r w:rsidR="00527B1E" w:rsidRPr="00876E76">
        <w:rPr>
          <w:color w:val="0070C0"/>
          <w:szCs w:val="24"/>
        </w:rPr>
        <w:t xml:space="preserve"> speciālistiem būvdarbu gadījumā. </w:t>
      </w:r>
    </w:p>
    <w:p w:rsidR="00527B1E" w:rsidRPr="00876E76" w:rsidRDefault="00527B1E" w:rsidP="00B37D0E">
      <w:pPr>
        <w:pStyle w:val="ListParagraph"/>
        <w:ind w:left="360"/>
        <w:jc w:val="both"/>
        <w:rPr>
          <w:color w:val="0070C0"/>
          <w:szCs w:val="24"/>
        </w:rPr>
      </w:pPr>
      <w:r w:rsidRPr="00876E76">
        <w:rPr>
          <w:color w:val="0070C0"/>
          <w:szCs w:val="24"/>
        </w:rPr>
        <w:t>E</w:t>
      </w:r>
      <w:r w:rsidR="00B37D0E" w:rsidRPr="00876E76">
        <w:rPr>
          <w:color w:val="0070C0"/>
          <w:szCs w:val="24"/>
        </w:rPr>
        <w:t xml:space="preserve">DI </w:t>
      </w:r>
      <w:r w:rsidRPr="00876E76">
        <w:rPr>
          <w:color w:val="0070C0"/>
          <w:szCs w:val="24"/>
        </w:rPr>
        <w:t xml:space="preserve">izsludinātā </w:t>
      </w:r>
      <w:r w:rsidR="00B37D0E" w:rsidRPr="00876E76">
        <w:rPr>
          <w:color w:val="0070C0"/>
          <w:szCs w:val="24"/>
        </w:rPr>
        <w:t>iepirkum</w:t>
      </w:r>
      <w:r w:rsidRPr="00876E76">
        <w:rPr>
          <w:color w:val="0070C0"/>
          <w:szCs w:val="24"/>
        </w:rPr>
        <w:t xml:space="preserve">a </w:t>
      </w:r>
      <w:proofErr w:type="spellStart"/>
      <w:r w:rsidRPr="00876E76">
        <w:rPr>
          <w:color w:val="0070C0"/>
          <w:szCs w:val="24"/>
        </w:rPr>
        <w:t>Nr</w:t>
      </w:r>
      <w:proofErr w:type="spellEnd"/>
      <w:r w:rsidRPr="00876E76">
        <w:rPr>
          <w:color w:val="0070C0"/>
          <w:szCs w:val="24"/>
        </w:rPr>
        <w:t xml:space="preserve">. EDI 2017/9 - </w:t>
      </w:r>
      <w:r w:rsidR="00B37D0E" w:rsidRPr="00876E76">
        <w:rPr>
          <w:color w:val="0070C0"/>
          <w:szCs w:val="24"/>
        </w:rPr>
        <w:t xml:space="preserve"> </w:t>
      </w:r>
      <w:r w:rsidR="00D51BAF">
        <w:rPr>
          <w:color w:val="0070C0"/>
          <w:szCs w:val="24"/>
        </w:rPr>
        <w:t>„</w:t>
      </w:r>
      <w:hyperlink r:id="rId10" w:tgtFrame="_blank" w:history="1">
        <w:r w:rsidR="00B37D0E" w:rsidRPr="00876E76">
          <w:rPr>
            <w:color w:val="0070C0"/>
            <w:szCs w:val="24"/>
          </w:rPr>
          <w:t>Tehniski</w:t>
        </w:r>
      </w:hyperlink>
      <w:r w:rsidR="00B37D0E" w:rsidRPr="00876E76">
        <w:rPr>
          <w:color w:val="0070C0"/>
          <w:szCs w:val="24"/>
        </w:rPr>
        <w:t xml:space="preserve"> ekonomiskās </w:t>
      </w:r>
      <w:proofErr w:type="spellStart"/>
      <w:r w:rsidR="00B37D0E" w:rsidRPr="00876E76">
        <w:rPr>
          <w:color w:val="0070C0"/>
          <w:szCs w:val="24"/>
        </w:rPr>
        <w:t>priekšizpētes</w:t>
      </w:r>
      <w:proofErr w:type="spellEnd"/>
      <w:r w:rsidR="00B37D0E" w:rsidRPr="00876E76">
        <w:rPr>
          <w:color w:val="0070C0"/>
          <w:szCs w:val="24"/>
        </w:rPr>
        <w:t xml:space="preserve"> veikšana un </w:t>
      </w:r>
      <w:proofErr w:type="spellStart"/>
      <w:r w:rsidR="00B37D0E" w:rsidRPr="00876E76">
        <w:rPr>
          <w:color w:val="0070C0"/>
          <w:szCs w:val="24"/>
        </w:rPr>
        <w:t>komercializācijas</w:t>
      </w:r>
      <w:proofErr w:type="spellEnd"/>
      <w:r w:rsidR="00B37D0E" w:rsidRPr="00876E76">
        <w:rPr>
          <w:color w:val="0070C0"/>
          <w:szCs w:val="24"/>
        </w:rPr>
        <w:t xml:space="preserve"> stratēģijas izstrāde projektu „</w:t>
      </w:r>
      <w:proofErr w:type="spellStart"/>
      <w:r w:rsidR="00B37D0E" w:rsidRPr="00876E76">
        <w:rPr>
          <w:color w:val="0070C0"/>
          <w:szCs w:val="24"/>
        </w:rPr>
        <w:t>Ultra</w:t>
      </w:r>
      <w:proofErr w:type="spellEnd"/>
      <w:r w:rsidR="00B37D0E" w:rsidRPr="00876E76">
        <w:rPr>
          <w:color w:val="0070C0"/>
          <w:szCs w:val="24"/>
        </w:rPr>
        <w:t xml:space="preserve"> platjoslas impulsu radara sensors” (Projekta Nr. KC-PI-2017/26) un „3D formu jūtīgs audums” (Projekta Nr. KC-PI-2017/25) ietvaros” </w:t>
      </w:r>
      <w:r w:rsidRPr="00876E76">
        <w:rPr>
          <w:color w:val="0070C0"/>
          <w:szCs w:val="24"/>
        </w:rPr>
        <w:t xml:space="preserve">būtība un specifika ir pilnīgi atšķirīga no būvdarbiem. Tehniski ekonomisko priekšizpētes un </w:t>
      </w:r>
      <w:r w:rsidR="00C23F2E">
        <w:rPr>
          <w:color w:val="0070C0"/>
          <w:szCs w:val="24"/>
        </w:rPr>
        <w:t>K</w:t>
      </w:r>
      <w:r w:rsidRPr="00876E76">
        <w:rPr>
          <w:color w:val="0070C0"/>
          <w:szCs w:val="24"/>
        </w:rPr>
        <w:t xml:space="preserve">omercializācijas stratēģijas izstrādi var veikt gan viens, gan vairāki </w:t>
      </w:r>
      <w:r w:rsidR="0080185D" w:rsidRPr="00876E76">
        <w:rPr>
          <w:color w:val="0070C0"/>
          <w:szCs w:val="24"/>
        </w:rPr>
        <w:t xml:space="preserve">pretendenta </w:t>
      </w:r>
      <w:r w:rsidRPr="00876E76">
        <w:rPr>
          <w:color w:val="0070C0"/>
          <w:szCs w:val="24"/>
        </w:rPr>
        <w:t>pi</w:t>
      </w:r>
      <w:r w:rsidR="0080185D" w:rsidRPr="00876E76">
        <w:rPr>
          <w:color w:val="0070C0"/>
          <w:szCs w:val="24"/>
        </w:rPr>
        <w:t xml:space="preserve">esaistītie eksperti, atkarībā no to kvalifikācijas, kur būtiska loma ir tieši </w:t>
      </w:r>
      <w:r w:rsidR="000701A9">
        <w:rPr>
          <w:color w:val="0070C0"/>
          <w:szCs w:val="24"/>
        </w:rPr>
        <w:t xml:space="preserve">konkrētā </w:t>
      </w:r>
      <w:r w:rsidR="0080185D" w:rsidRPr="00876E76">
        <w:rPr>
          <w:color w:val="0070C0"/>
          <w:szCs w:val="24"/>
        </w:rPr>
        <w:t xml:space="preserve">piesaistītā eksperta/-u kompetencei, pieredzei un izglītībai. </w:t>
      </w:r>
    </w:p>
    <w:p w:rsidR="00527B1E" w:rsidRPr="00876E76" w:rsidRDefault="00527B1E" w:rsidP="00B37D0E">
      <w:pPr>
        <w:pStyle w:val="ListParagraph"/>
        <w:ind w:left="360"/>
        <w:jc w:val="both"/>
        <w:rPr>
          <w:szCs w:val="24"/>
        </w:rPr>
      </w:pPr>
    </w:p>
    <w:p w:rsidR="004D006D" w:rsidRPr="00876E76" w:rsidRDefault="004D006D" w:rsidP="00901AC8">
      <w:pPr>
        <w:numPr>
          <w:ilvl w:val="0"/>
          <w:numId w:val="2"/>
        </w:numPr>
        <w:spacing w:after="120" w:line="240" w:lineRule="auto"/>
        <w:ind w:right="-199"/>
        <w:jc w:val="both"/>
        <w:rPr>
          <w:szCs w:val="24"/>
        </w:rPr>
      </w:pPr>
      <w:r w:rsidRPr="00876E76">
        <w:rPr>
          <w:szCs w:val="24"/>
        </w:rPr>
        <w:t>Iepirkuma nolikuma 3.1.2.punktā norādīts, ka pretendents var iesniegt vienu piedāvājumu par vienu pilnībā piedāvātu iepirkuma daļu vai par abām iepirkuma daļām</w:t>
      </w:r>
      <w:r w:rsidR="00636A5D" w:rsidRPr="00876E76">
        <w:rPr>
          <w:szCs w:val="24"/>
        </w:rPr>
        <w:t>. N</w:t>
      </w:r>
      <w:r w:rsidRPr="00876E76">
        <w:rPr>
          <w:szCs w:val="24"/>
        </w:rPr>
        <w:t xml:space="preserve">olikuma 1.pielikuma 1.punktā </w:t>
      </w:r>
      <w:r w:rsidR="00636A5D" w:rsidRPr="00876E76">
        <w:rPr>
          <w:szCs w:val="24"/>
        </w:rPr>
        <w:t xml:space="preserve">paredzēts, ka </w:t>
      </w:r>
      <w:r w:rsidRPr="00876E76">
        <w:rPr>
          <w:szCs w:val="24"/>
        </w:rPr>
        <w:t>pretendentam</w:t>
      </w:r>
      <w:r w:rsidR="00636A5D" w:rsidRPr="00876E76">
        <w:rPr>
          <w:szCs w:val="24"/>
        </w:rPr>
        <w:t xml:space="preserve"> tikai</w:t>
      </w:r>
      <w:r w:rsidRPr="00876E76">
        <w:rPr>
          <w:szCs w:val="24"/>
        </w:rPr>
        <w:t xml:space="preserve"> jānorāda, ka tas </w:t>
      </w:r>
      <w:r w:rsidRPr="00876E76">
        <w:rPr>
          <w:bCs/>
          <w:szCs w:val="24"/>
        </w:rPr>
        <w:t>piesakās piedalīties iepirkumā „</w:t>
      </w:r>
      <w:r w:rsidRPr="00876E76">
        <w:rPr>
          <w:rFonts w:cs="Times New Roman"/>
          <w:szCs w:val="24"/>
        </w:rPr>
        <w:t>Tehniski</w:t>
      </w:r>
      <w:r w:rsidRPr="00876E76">
        <w:rPr>
          <w:szCs w:val="24"/>
        </w:rPr>
        <w:t xml:space="preserve"> ekonomiskās priekšizpētes veikšana un komercializācijas stratēģijas izstrāde projektu „</w:t>
      </w:r>
      <w:proofErr w:type="spellStart"/>
      <w:r w:rsidRPr="00876E76">
        <w:rPr>
          <w:szCs w:val="24"/>
        </w:rPr>
        <w:t>Ultra</w:t>
      </w:r>
      <w:proofErr w:type="spellEnd"/>
      <w:r w:rsidRPr="00876E76">
        <w:rPr>
          <w:szCs w:val="24"/>
        </w:rPr>
        <w:t xml:space="preserve"> platjoslas impulsu radara sensors” (Projekta Nr. KC-PI-2017/26) un „3D formu jūtīgs audums” (Projekta Nr. KC-PI-2017/25) ietvaros</w:t>
      </w:r>
      <w:r w:rsidRPr="00876E76">
        <w:rPr>
          <w:caps/>
          <w:szCs w:val="24"/>
        </w:rPr>
        <w:t xml:space="preserve">” </w:t>
      </w:r>
      <w:r w:rsidRPr="00876E76">
        <w:rPr>
          <w:szCs w:val="24"/>
        </w:rPr>
        <w:t xml:space="preserve">(Iepirkuma procedūras identifikācijas </w:t>
      </w:r>
      <w:proofErr w:type="spellStart"/>
      <w:r w:rsidRPr="00876E76">
        <w:rPr>
          <w:szCs w:val="24"/>
        </w:rPr>
        <w:t>Nr.EDI</w:t>
      </w:r>
      <w:proofErr w:type="spellEnd"/>
      <w:r w:rsidRPr="00876E76">
        <w:rPr>
          <w:szCs w:val="24"/>
        </w:rPr>
        <w:t xml:space="preserve"> 2017/9). </w:t>
      </w:r>
      <w:r w:rsidRPr="00876E76">
        <w:rPr>
          <w:b/>
          <w:szCs w:val="24"/>
        </w:rPr>
        <w:t>Kur paredzēts norādīt, kādai iepirkuma daļai pretendents piesakās (ja paredzēts pieteikties tikai vienai iepirkuma daļai)? Vai</w:t>
      </w:r>
      <w:r w:rsidR="006563D9" w:rsidRPr="00876E76">
        <w:rPr>
          <w:b/>
          <w:szCs w:val="24"/>
        </w:rPr>
        <w:t xml:space="preserve"> arī</w:t>
      </w:r>
      <w:r w:rsidRPr="00876E76">
        <w:rPr>
          <w:b/>
          <w:szCs w:val="24"/>
        </w:rPr>
        <w:t xml:space="preserve"> tas tiek secināts no tehniskā un finanšu piedāvājuma?</w:t>
      </w:r>
      <w:r w:rsidRPr="00876E76">
        <w:rPr>
          <w:szCs w:val="24"/>
        </w:rPr>
        <w:t xml:space="preserve"> </w:t>
      </w:r>
    </w:p>
    <w:p w:rsidR="003469D6" w:rsidRPr="003469D6" w:rsidRDefault="003469D6" w:rsidP="003469D6">
      <w:pPr>
        <w:pStyle w:val="FootnoteText"/>
        <w:spacing w:after="120"/>
        <w:ind w:left="360" w:right="-199"/>
        <w:jc w:val="both"/>
        <w:rPr>
          <w:color w:val="0070C0"/>
          <w:szCs w:val="24"/>
          <w:u w:val="single"/>
        </w:rPr>
      </w:pPr>
      <w:r w:rsidRPr="003469D6">
        <w:rPr>
          <w:color w:val="0070C0"/>
          <w:szCs w:val="24"/>
          <w:u w:val="single"/>
        </w:rPr>
        <w:t>Atbilde:</w:t>
      </w:r>
    </w:p>
    <w:p w:rsidR="0080185D" w:rsidRPr="00876E76" w:rsidRDefault="0080185D" w:rsidP="0080185D">
      <w:pPr>
        <w:spacing w:after="120" w:line="240" w:lineRule="auto"/>
        <w:ind w:left="360" w:right="-199"/>
        <w:jc w:val="both"/>
        <w:rPr>
          <w:color w:val="0070C0"/>
          <w:szCs w:val="24"/>
        </w:rPr>
      </w:pPr>
      <w:r w:rsidRPr="00876E76">
        <w:rPr>
          <w:color w:val="0070C0"/>
          <w:szCs w:val="24"/>
        </w:rPr>
        <w:lastRenderedPageBreak/>
        <w:t xml:space="preserve">Ja </w:t>
      </w:r>
      <w:r w:rsidR="00C23F2E">
        <w:rPr>
          <w:color w:val="0070C0"/>
          <w:szCs w:val="24"/>
        </w:rPr>
        <w:t>P</w:t>
      </w:r>
      <w:r w:rsidRPr="00876E76">
        <w:rPr>
          <w:color w:val="0070C0"/>
          <w:szCs w:val="24"/>
        </w:rPr>
        <w:t>retendents piedalās tikai vienā no iepirkuma daļām, tad pretend</w:t>
      </w:r>
      <w:r w:rsidR="00770ABE">
        <w:rPr>
          <w:color w:val="0070C0"/>
          <w:szCs w:val="24"/>
        </w:rPr>
        <w:t>en</w:t>
      </w:r>
      <w:r w:rsidRPr="00876E76">
        <w:rPr>
          <w:color w:val="0070C0"/>
          <w:szCs w:val="24"/>
        </w:rPr>
        <w:t xml:space="preserve">ts 1.pielikumā norāda tikai to iepirkuma daļu, kurā piedalās. Attiecīgi tehnisko un finanšu piedāvājumu iesniedz tikai par </w:t>
      </w:r>
      <w:r w:rsidR="00131225" w:rsidRPr="00876E76">
        <w:rPr>
          <w:color w:val="0070C0"/>
          <w:szCs w:val="24"/>
        </w:rPr>
        <w:t xml:space="preserve">vienu </w:t>
      </w:r>
      <w:r w:rsidRPr="00876E76">
        <w:rPr>
          <w:color w:val="0070C0"/>
          <w:szCs w:val="24"/>
        </w:rPr>
        <w:t>iepirkuma d</w:t>
      </w:r>
      <w:r w:rsidR="00131225" w:rsidRPr="00876E76">
        <w:rPr>
          <w:color w:val="0070C0"/>
          <w:szCs w:val="24"/>
        </w:rPr>
        <w:t>aļu, kurā piedalās.</w:t>
      </w:r>
    </w:p>
    <w:p w:rsidR="00E703B8" w:rsidRPr="00D2056B" w:rsidRDefault="004D006D" w:rsidP="00901AC8">
      <w:pPr>
        <w:numPr>
          <w:ilvl w:val="0"/>
          <w:numId w:val="2"/>
        </w:numPr>
        <w:spacing w:after="120" w:line="240" w:lineRule="auto"/>
        <w:ind w:right="-199"/>
        <w:jc w:val="both"/>
        <w:rPr>
          <w:szCs w:val="24"/>
        </w:rPr>
      </w:pPr>
      <w:r w:rsidRPr="00876E76">
        <w:rPr>
          <w:szCs w:val="24"/>
        </w:rPr>
        <w:t xml:space="preserve">Nolikuma 6.pielikuma “Iepirkuma līguma projekts” 2.2.3.punktā norādīts, ka atlikušos 40% no Līguma summas Pasūtītājs samaksā Piegādātājam [..] pēc </w:t>
      </w:r>
      <w:r w:rsidRPr="00876E76">
        <w:rPr>
          <w:rFonts w:eastAsia="Times New Roman"/>
          <w:szCs w:val="24"/>
          <w:lang w:eastAsia="lv-LV"/>
        </w:rPr>
        <w:t xml:space="preserve">Latvijas investīciju un attīstības aģentūras apstiprinājuma saņemšanas. Ir iespējamas situācijas, kad LIAA var neapstiprināt projektu un projekts tiek noraidīts no </w:t>
      </w:r>
      <w:r w:rsidR="00FE53A7" w:rsidRPr="00876E76">
        <w:rPr>
          <w:rFonts w:eastAsia="Times New Roman"/>
          <w:szCs w:val="24"/>
          <w:lang w:eastAsia="lv-LV"/>
        </w:rPr>
        <w:t>Piegādātāja</w:t>
      </w:r>
      <w:r w:rsidRPr="00876E76">
        <w:rPr>
          <w:rFonts w:eastAsia="Times New Roman"/>
          <w:szCs w:val="24"/>
          <w:lang w:eastAsia="lv-LV"/>
        </w:rPr>
        <w:t xml:space="preserve"> neatkarīgu </w:t>
      </w:r>
      <w:r w:rsidR="00FE53A7" w:rsidRPr="00876E76">
        <w:rPr>
          <w:rFonts w:eastAsia="Times New Roman"/>
          <w:szCs w:val="24"/>
          <w:lang w:eastAsia="lv-LV"/>
        </w:rPr>
        <w:t>iemeslu</w:t>
      </w:r>
      <w:r w:rsidRPr="00876E76">
        <w:rPr>
          <w:rFonts w:eastAsia="Times New Roman"/>
          <w:szCs w:val="24"/>
          <w:lang w:eastAsia="lv-LV"/>
        </w:rPr>
        <w:t xml:space="preserve"> dēļ.</w:t>
      </w:r>
      <w:r w:rsidRPr="00876E76">
        <w:rPr>
          <w:rFonts w:eastAsia="Times New Roman"/>
          <w:b/>
          <w:szCs w:val="24"/>
          <w:lang w:eastAsia="lv-LV"/>
        </w:rPr>
        <w:t xml:space="preserve"> Kā paredzēts veikt atlikušo 40% apmaksu, ja </w:t>
      </w:r>
      <w:r w:rsidR="00FE53A7" w:rsidRPr="00876E76">
        <w:rPr>
          <w:rFonts w:eastAsia="Times New Roman"/>
          <w:b/>
          <w:szCs w:val="24"/>
          <w:lang w:eastAsia="lv-LV"/>
        </w:rPr>
        <w:t xml:space="preserve">projekts noraidīt ne Piegādātāja </w:t>
      </w:r>
      <w:r w:rsidR="006563D9" w:rsidRPr="00876E76">
        <w:rPr>
          <w:rFonts w:eastAsia="Times New Roman"/>
          <w:b/>
          <w:szCs w:val="24"/>
          <w:lang w:eastAsia="lv-LV"/>
        </w:rPr>
        <w:t xml:space="preserve">vainas </w:t>
      </w:r>
      <w:r w:rsidR="00FE53A7" w:rsidRPr="00876E76">
        <w:rPr>
          <w:rFonts w:eastAsia="Times New Roman"/>
          <w:b/>
          <w:szCs w:val="24"/>
          <w:lang w:eastAsia="lv-LV"/>
        </w:rPr>
        <w:t xml:space="preserve">dēļ? </w:t>
      </w:r>
    </w:p>
    <w:p w:rsidR="00D2056B" w:rsidRPr="00876E76" w:rsidRDefault="00D2056B" w:rsidP="00D2056B">
      <w:pPr>
        <w:spacing w:after="120" w:line="240" w:lineRule="auto"/>
        <w:ind w:right="-199"/>
        <w:jc w:val="both"/>
        <w:rPr>
          <w:szCs w:val="24"/>
        </w:rPr>
      </w:pPr>
    </w:p>
    <w:p w:rsidR="003469D6" w:rsidRPr="003469D6" w:rsidRDefault="003469D6" w:rsidP="003469D6">
      <w:pPr>
        <w:pStyle w:val="FootnoteText"/>
        <w:spacing w:after="120"/>
        <w:ind w:left="360" w:right="-199"/>
        <w:jc w:val="both"/>
        <w:rPr>
          <w:color w:val="0070C0"/>
          <w:szCs w:val="24"/>
          <w:u w:val="single"/>
        </w:rPr>
      </w:pPr>
      <w:r w:rsidRPr="003469D6">
        <w:rPr>
          <w:color w:val="0070C0"/>
          <w:szCs w:val="24"/>
          <w:u w:val="single"/>
        </w:rPr>
        <w:t>Atbilde:</w:t>
      </w:r>
      <w:bookmarkStart w:id="0" w:name="_GoBack"/>
      <w:bookmarkEnd w:id="0"/>
    </w:p>
    <w:p w:rsidR="002E71F9" w:rsidRPr="00876E76" w:rsidRDefault="005A0403" w:rsidP="002E71F9">
      <w:pPr>
        <w:spacing w:after="120" w:line="240" w:lineRule="auto"/>
        <w:ind w:left="360" w:right="-199"/>
        <w:jc w:val="both"/>
        <w:rPr>
          <w:color w:val="0070C0"/>
          <w:szCs w:val="24"/>
        </w:rPr>
      </w:pPr>
      <w:r w:rsidRPr="00876E76">
        <w:rPr>
          <w:color w:val="0070C0"/>
          <w:szCs w:val="24"/>
        </w:rPr>
        <w:t xml:space="preserve">Ja LIAA neapstiprina projektu un prasa veikt korekcijas un uzlabojumus par vienu vai abām Iepirkuma priekšmeta daļām, tad Piegādātājs saņem </w:t>
      </w:r>
      <w:r w:rsidR="002E71F9" w:rsidRPr="00876E76">
        <w:rPr>
          <w:color w:val="0070C0"/>
          <w:szCs w:val="24"/>
        </w:rPr>
        <w:t xml:space="preserve">atlikušo 40% apmaksu pēc prasīto korekciju un uzlabojumu iesniegšanas Pasūtītājam un apstiprinājuma saņemšanas no LIAA. Ja LIAA noraida projektu no </w:t>
      </w:r>
      <w:r w:rsidRPr="00876E76">
        <w:rPr>
          <w:color w:val="0070C0"/>
          <w:szCs w:val="24"/>
        </w:rPr>
        <w:t xml:space="preserve">Piegādātāja neatkarīgu iemeslu dēļ, </w:t>
      </w:r>
      <w:r w:rsidR="002E71F9" w:rsidRPr="00876E76">
        <w:rPr>
          <w:color w:val="0070C0"/>
          <w:szCs w:val="24"/>
        </w:rPr>
        <w:t xml:space="preserve">tad Piegādātājs saņem atlikušo 40% apmaksu </w:t>
      </w:r>
      <w:r w:rsidR="00770ABE" w:rsidRPr="00876E76">
        <w:rPr>
          <w:color w:val="0070C0"/>
          <w:szCs w:val="24"/>
        </w:rPr>
        <w:t xml:space="preserve">atbilstoši </w:t>
      </w:r>
      <w:r w:rsidR="002E71F9" w:rsidRPr="00876E76">
        <w:rPr>
          <w:color w:val="0070C0"/>
          <w:szCs w:val="24"/>
        </w:rPr>
        <w:t xml:space="preserve">iepirkuma līguma 2.2.3. punktā norādītajam. </w:t>
      </w:r>
    </w:p>
    <w:p w:rsidR="00FE53A7" w:rsidRPr="00876E76" w:rsidRDefault="00FE53A7" w:rsidP="002E71F9">
      <w:pPr>
        <w:pStyle w:val="ListParagraph"/>
        <w:numPr>
          <w:ilvl w:val="0"/>
          <w:numId w:val="2"/>
        </w:numPr>
        <w:spacing w:after="120" w:line="240" w:lineRule="auto"/>
        <w:ind w:right="-199"/>
        <w:jc w:val="both"/>
        <w:rPr>
          <w:szCs w:val="24"/>
        </w:rPr>
      </w:pPr>
      <w:r w:rsidRPr="00876E76">
        <w:rPr>
          <w:szCs w:val="24"/>
        </w:rPr>
        <w:t>Nolikuma 6.pielikuma “Iepirkuma līguma projekts”</w:t>
      </w:r>
      <w:r w:rsidR="006563D9" w:rsidRPr="00876E76">
        <w:rPr>
          <w:szCs w:val="24"/>
        </w:rPr>
        <w:t xml:space="preserve"> (turpmāk – līguma projekts)</w:t>
      </w:r>
      <w:r w:rsidRPr="00876E76">
        <w:rPr>
          <w:szCs w:val="24"/>
        </w:rPr>
        <w:t xml:space="preserve"> 5.2.punktā norādīts, ka “ja Piegādātājs nenodod Pakalpojumu Līgumā norādītajā termiņā, Pasūtītājs ir tiesīgs vienpusēji izbeigt noslēgto Līgumu </w:t>
      </w:r>
      <w:r w:rsidRPr="00876E76">
        <w:rPr>
          <w:szCs w:val="24"/>
          <w:u w:val="single"/>
        </w:rPr>
        <w:t>un</w:t>
      </w:r>
      <w:r w:rsidRPr="00876E76">
        <w:rPr>
          <w:szCs w:val="24"/>
        </w:rPr>
        <w:t xml:space="preserve"> pieprasīt maksāt Pasūtītājam par katru nokavēto dienu nokavējuma procentus 1,25% apmērā no noslēgtā Līguma summas, bet ne vairāk kā 25% no noslēgtā Līguma summas”. Papildus </w:t>
      </w:r>
      <w:r w:rsidR="006563D9" w:rsidRPr="00876E76">
        <w:rPr>
          <w:szCs w:val="24"/>
        </w:rPr>
        <w:t xml:space="preserve">līguma projekta </w:t>
      </w:r>
      <w:r w:rsidRPr="00876E76">
        <w:rPr>
          <w:szCs w:val="24"/>
        </w:rPr>
        <w:t xml:space="preserve">5.3.puntā noteikts, ka “Līguma 5.2.apakšpunktā paredzētās sankcijas neatbrīvo Piegādātāju no līgumsaistību izpildes”. </w:t>
      </w:r>
      <w:r w:rsidRPr="00876E76">
        <w:rPr>
          <w:b/>
          <w:szCs w:val="24"/>
        </w:rPr>
        <w:t>Lūdzu paskaidrojiet šī līguma noteikuma pamatotību un atbilstību Latvijas Republikas normatīvajiem aktiem!</w:t>
      </w:r>
    </w:p>
    <w:p w:rsidR="00FE53A7" w:rsidRPr="00876E76" w:rsidRDefault="00FE53A7" w:rsidP="006563D9">
      <w:pPr>
        <w:tabs>
          <w:tab w:val="left" w:pos="-567"/>
        </w:tabs>
        <w:spacing w:after="120" w:line="240" w:lineRule="auto"/>
        <w:ind w:left="360" w:right="-199"/>
        <w:jc w:val="both"/>
        <w:rPr>
          <w:b/>
          <w:szCs w:val="24"/>
        </w:rPr>
      </w:pPr>
      <w:r w:rsidRPr="00876E76">
        <w:rPr>
          <w:szCs w:val="24"/>
        </w:rPr>
        <w:t xml:space="preserve">Saskaņā ar Civillikuma 1716.pantu līgumsods par saistību nepienācīgu izpildi vai neizpildīšanu īstā laikā (termiņā) var tikt noteikts pieaugošs, taču kopumā ne vairāk par </w:t>
      </w:r>
      <w:r w:rsidRPr="00876E76">
        <w:rPr>
          <w:szCs w:val="24"/>
          <w:u w:val="single"/>
        </w:rPr>
        <w:t>10 procentiem</w:t>
      </w:r>
      <w:r w:rsidRPr="00876E76">
        <w:rPr>
          <w:szCs w:val="24"/>
        </w:rPr>
        <w:t xml:space="preserve"> no pamatparāda vai galvenās saistības apmēra. Turklāt saiklis “UN” paredz, ka jāiestājas abām Līguma 5.2.punktā noteiktajām sekām, t.i. līgums tiek vienpusēji izbeigts UN piegādātājs maksā līgumsodu par kavējumu. </w:t>
      </w:r>
      <w:r w:rsidRPr="00876E76">
        <w:rPr>
          <w:b/>
          <w:szCs w:val="24"/>
        </w:rPr>
        <w:t>Ja līgums tiek izbeigts saskaņā ar līguma 5.2.punktu, kā iespējams noteikt, ka līguma 5.2.apakšpunktā paredzētās sankcijas neatbrīvo Piegādātāju no līgumsaistību izpildes?</w:t>
      </w:r>
      <w:r w:rsidR="006563D9" w:rsidRPr="00876E76">
        <w:rPr>
          <w:szCs w:val="24"/>
        </w:rPr>
        <w:t xml:space="preserve"> Papildus tam l</w:t>
      </w:r>
      <w:r w:rsidRPr="00876E76">
        <w:rPr>
          <w:szCs w:val="24"/>
        </w:rPr>
        <w:t xml:space="preserve">īguma projekta 5.4.punkts noteic, ka, ja nokavējuma nauda sasniedz 25% no noslēgtā Līguma summas, Pasūtītājs ir tiesīgs vienpusēji izbeigt noslēgto Līgumu. </w:t>
      </w:r>
      <w:r w:rsidRPr="00876E76">
        <w:rPr>
          <w:b/>
          <w:szCs w:val="24"/>
        </w:rPr>
        <w:t xml:space="preserve">Lūdzu, paskaidrojiet, kā </w:t>
      </w:r>
      <w:r w:rsidR="006563D9" w:rsidRPr="00876E76">
        <w:rPr>
          <w:b/>
          <w:szCs w:val="24"/>
        </w:rPr>
        <w:t>šāda prasība atbilst l</w:t>
      </w:r>
      <w:r w:rsidRPr="00876E76">
        <w:rPr>
          <w:b/>
          <w:szCs w:val="24"/>
        </w:rPr>
        <w:t>īguma projekta iepriekšējos punktos un normatīvajos aktos noteiktajam!</w:t>
      </w:r>
    </w:p>
    <w:p w:rsidR="003469D6" w:rsidRPr="003469D6" w:rsidRDefault="003469D6" w:rsidP="003469D6">
      <w:pPr>
        <w:pStyle w:val="FootnoteText"/>
        <w:spacing w:after="120"/>
        <w:ind w:left="360" w:right="-199"/>
        <w:jc w:val="both"/>
        <w:rPr>
          <w:color w:val="0070C0"/>
          <w:szCs w:val="24"/>
          <w:u w:val="single"/>
        </w:rPr>
      </w:pPr>
      <w:r w:rsidRPr="003469D6">
        <w:rPr>
          <w:color w:val="0070C0"/>
          <w:szCs w:val="24"/>
          <w:u w:val="single"/>
        </w:rPr>
        <w:t>Atbilde:</w:t>
      </w:r>
    </w:p>
    <w:p w:rsidR="00D2056B" w:rsidRDefault="00F4420C" w:rsidP="00D2056B">
      <w:pPr>
        <w:spacing w:after="120" w:line="240" w:lineRule="auto"/>
        <w:ind w:left="284" w:right="-199"/>
        <w:jc w:val="both"/>
        <w:rPr>
          <w:szCs w:val="24"/>
        </w:rPr>
      </w:pPr>
      <w:r>
        <w:rPr>
          <w:color w:val="0070C0"/>
          <w:szCs w:val="24"/>
        </w:rPr>
        <w:t xml:space="preserve">Pie pakalpojuma līguma slēgšanas </w:t>
      </w:r>
      <w:r w:rsidR="00CC301A">
        <w:rPr>
          <w:color w:val="0070C0"/>
          <w:szCs w:val="24"/>
        </w:rPr>
        <w:t xml:space="preserve">līguma projekta 5.2. un 5.4.punktā minētie procenti </w:t>
      </w:r>
      <w:r>
        <w:rPr>
          <w:color w:val="0070C0"/>
          <w:szCs w:val="24"/>
        </w:rPr>
        <w:t>tiks koriģēt</w:t>
      </w:r>
      <w:r w:rsidR="00CC301A">
        <w:rPr>
          <w:color w:val="0070C0"/>
          <w:szCs w:val="24"/>
        </w:rPr>
        <w:t>i</w:t>
      </w:r>
      <w:r>
        <w:rPr>
          <w:color w:val="0070C0"/>
          <w:szCs w:val="24"/>
        </w:rPr>
        <w:t xml:space="preserve"> atbilstoši Civillikuma 1716.pantā noteiktajām normām un </w:t>
      </w:r>
      <w:r w:rsidR="00D2056B">
        <w:rPr>
          <w:color w:val="0070C0"/>
          <w:szCs w:val="24"/>
        </w:rPr>
        <w:t xml:space="preserve">ievērojot </w:t>
      </w:r>
      <w:r>
        <w:rPr>
          <w:color w:val="0070C0"/>
          <w:szCs w:val="24"/>
        </w:rPr>
        <w:t xml:space="preserve">IUB </w:t>
      </w:r>
      <w:r w:rsidR="00D2056B" w:rsidRPr="00D2056B">
        <w:rPr>
          <w:color w:val="4472C4" w:themeColor="accent1"/>
          <w:szCs w:val="24"/>
        </w:rPr>
        <w:t xml:space="preserve">skaidrojumā “Par būtiskākajām un biežāk konstatētajām neatbilstībām iepirkuma procedūru dokumentācijā un norisē” noteikto. </w:t>
      </w:r>
    </w:p>
    <w:p w:rsidR="00901AC8" w:rsidRPr="00D2056B" w:rsidRDefault="00901AC8" w:rsidP="00D2056B">
      <w:pPr>
        <w:pStyle w:val="ListParagraph"/>
        <w:numPr>
          <w:ilvl w:val="0"/>
          <w:numId w:val="2"/>
        </w:numPr>
        <w:spacing w:after="120" w:line="240" w:lineRule="auto"/>
        <w:ind w:right="-199"/>
        <w:jc w:val="both"/>
        <w:rPr>
          <w:szCs w:val="24"/>
        </w:rPr>
      </w:pPr>
      <w:r w:rsidRPr="00D2056B">
        <w:rPr>
          <w:szCs w:val="24"/>
        </w:rPr>
        <w:t xml:space="preserve">Par savu saistību neizpildi Piegādātājam līguma projekta 5.2. punktā paredzēts </w:t>
      </w:r>
      <w:r w:rsidR="006563D9" w:rsidRPr="00D2056B">
        <w:rPr>
          <w:szCs w:val="24"/>
        </w:rPr>
        <w:t>līgumsods 1,25% apmērā, savukārt</w:t>
      </w:r>
      <w:r w:rsidRPr="00D2056B">
        <w:rPr>
          <w:szCs w:val="24"/>
        </w:rPr>
        <w:t xml:space="preserve"> pasūtītājam par tam noteikto sais</w:t>
      </w:r>
      <w:r w:rsidR="006563D9" w:rsidRPr="00D2056B">
        <w:rPr>
          <w:szCs w:val="24"/>
        </w:rPr>
        <w:t>t</w:t>
      </w:r>
      <w:r w:rsidRPr="00D2056B">
        <w:rPr>
          <w:szCs w:val="24"/>
        </w:rPr>
        <w:t>ību nei</w:t>
      </w:r>
      <w:r w:rsidR="006563D9" w:rsidRPr="00D2056B">
        <w:rPr>
          <w:szCs w:val="24"/>
        </w:rPr>
        <w:t>z</w:t>
      </w:r>
      <w:r w:rsidRPr="00D2056B">
        <w:rPr>
          <w:szCs w:val="24"/>
        </w:rPr>
        <w:t>pildi</w:t>
      </w:r>
      <w:r w:rsidR="006563D9" w:rsidRPr="00D2056B">
        <w:rPr>
          <w:szCs w:val="24"/>
        </w:rPr>
        <w:t xml:space="preserve"> -</w:t>
      </w:r>
      <w:r w:rsidRPr="00D2056B">
        <w:rPr>
          <w:szCs w:val="24"/>
        </w:rPr>
        <w:t xml:space="preserve"> </w:t>
      </w:r>
      <w:r w:rsidRPr="00D2056B">
        <w:rPr>
          <w:szCs w:val="24"/>
        </w:rPr>
        <w:lastRenderedPageBreak/>
        <w:t xml:space="preserve">tikai 0,5% (Līguma projekta 5.5.punkts). Turklāt šo procentu pieaugums </w:t>
      </w:r>
      <w:r w:rsidRPr="00D2056B">
        <w:rPr>
          <w:szCs w:val="24"/>
          <w:u w:val="single"/>
        </w:rPr>
        <w:t>ir ierobežots</w:t>
      </w:r>
      <w:r w:rsidRPr="00D2056B">
        <w:rPr>
          <w:szCs w:val="24"/>
        </w:rPr>
        <w:t xml:space="preserve"> saskaņā ar Civillikuma 1716.pantu – ne vairāk kā 10% no nokavētā maksājuma. </w:t>
      </w:r>
      <w:r w:rsidRPr="00D2056B">
        <w:rPr>
          <w:b/>
          <w:szCs w:val="24"/>
        </w:rPr>
        <w:t>Lūdzu paskaidrojiet šo sankciju samērīgumu, pamatotību un atbilstību normatīvo aktu un labās prakses principam!</w:t>
      </w:r>
      <w:r w:rsidRPr="00D2056B">
        <w:rPr>
          <w:szCs w:val="24"/>
        </w:rPr>
        <w:t xml:space="preserve"> </w:t>
      </w:r>
    </w:p>
    <w:p w:rsidR="003469D6" w:rsidRPr="00CC301A" w:rsidRDefault="003469D6" w:rsidP="00654DB9">
      <w:pPr>
        <w:spacing w:after="120" w:line="240" w:lineRule="auto"/>
        <w:ind w:left="360" w:right="-199"/>
        <w:jc w:val="both"/>
        <w:rPr>
          <w:color w:val="4472C4" w:themeColor="accent1"/>
          <w:szCs w:val="24"/>
        </w:rPr>
      </w:pPr>
      <w:r w:rsidRPr="00CC301A">
        <w:rPr>
          <w:color w:val="4472C4" w:themeColor="accent1"/>
          <w:szCs w:val="24"/>
        </w:rPr>
        <w:t>Atbilde:</w:t>
      </w:r>
    </w:p>
    <w:p w:rsidR="00D2056B" w:rsidRPr="003469D6" w:rsidRDefault="00D2056B" w:rsidP="00654DB9">
      <w:pPr>
        <w:spacing w:after="120" w:line="240" w:lineRule="auto"/>
        <w:ind w:left="360" w:right="-199"/>
        <w:jc w:val="both"/>
        <w:rPr>
          <w:color w:val="auto"/>
          <w:szCs w:val="24"/>
        </w:rPr>
      </w:pPr>
      <w:r>
        <w:rPr>
          <w:color w:val="0070C0"/>
          <w:szCs w:val="24"/>
        </w:rPr>
        <w:t xml:space="preserve">Pie pakalpojuma līguma slēgšanas </w:t>
      </w:r>
      <w:r w:rsidR="00CC301A">
        <w:rPr>
          <w:color w:val="0070C0"/>
          <w:szCs w:val="24"/>
        </w:rPr>
        <w:t xml:space="preserve">līguma projekta 5.2. un 5.4.punktā minētie procenti </w:t>
      </w:r>
      <w:r>
        <w:rPr>
          <w:color w:val="0070C0"/>
          <w:szCs w:val="24"/>
        </w:rPr>
        <w:t>tiks koriģēt</w:t>
      </w:r>
      <w:r w:rsidR="00CC301A">
        <w:rPr>
          <w:color w:val="0070C0"/>
          <w:szCs w:val="24"/>
        </w:rPr>
        <w:t>i</w:t>
      </w:r>
      <w:r>
        <w:rPr>
          <w:color w:val="0070C0"/>
          <w:szCs w:val="24"/>
        </w:rPr>
        <w:t xml:space="preserve"> atbilstoši Civillikuma 1716.pantā noteiktajām normām un ievērojot IUB </w:t>
      </w:r>
      <w:r w:rsidRPr="00D2056B">
        <w:rPr>
          <w:color w:val="4472C4" w:themeColor="accent1"/>
          <w:szCs w:val="24"/>
        </w:rPr>
        <w:t>skaidrojumā “Par būtiskākajām un biežāk konstatētajām neatbilstībām iepirkuma procedūru dokumentācijā un norisē” noteikto.</w:t>
      </w:r>
    </w:p>
    <w:p w:rsidR="00901AC8" w:rsidRPr="00876E76" w:rsidRDefault="00901AC8" w:rsidP="00901AC8">
      <w:pPr>
        <w:numPr>
          <w:ilvl w:val="0"/>
          <w:numId w:val="2"/>
        </w:numPr>
        <w:spacing w:after="120" w:line="240" w:lineRule="auto"/>
        <w:ind w:right="-199"/>
        <w:jc w:val="both"/>
        <w:rPr>
          <w:szCs w:val="24"/>
        </w:rPr>
      </w:pPr>
      <w:r w:rsidRPr="00876E76">
        <w:rPr>
          <w:szCs w:val="24"/>
        </w:rPr>
        <w:t>Saskaņā ar līguma projekta 7.4.punktu</w:t>
      </w:r>
      <w:r w:rsidR="006563D9" w:rsidRPr="00876E76">
        <w:rPr>
          <w:szCs w:val="24"/>
        </w:rPr>
        <w:t>,</w:t>
      </w:r>
      <w:r w:rsidRPr="00876E76">
        <w:rPr>
          <w:szCs w:val="24"/>
        </w:rPr>
        <w:t xml:space="preserve"> </w:t>
      </w:r>
      <w:r w:rsidR="006563D9" w:rsidRPr="00876E76">
        <w:rPr>
          <w:szCs w:val="24"/>
        </w:rPr>
        <w:t>j</w:t>
      </w:r>
      <w:r w:rsidRPr="00876E76">
        <w:rPr>
          <w:szCs w:val="24"/>
        </w:rPr>
        <w:t xml:space="preserve">a nepārvaramas varas apstākļu dēļ Pakalpojuma piegāde aizkavējas vairāk kā par 45 (četrdesmit piecām) dienām, Pasūtītājs ir tiesīgs vienpusēji atkāpties no Līguma. </w:t>
      </w:r>
      <w:r w:rsidRPr="00876E76">
        <w:rPr>
          <w:b/>
          <w:szCs w:val="24"/>
        </w:rPr>
        <w:t>Lūdzu skaidrojiet šāda nosacījuma pamatotību</w:t>
      </w:r>
      <w:r w:rsidR="006563D9" w:rsidRPr="00876E76">
        <w:rPr>
          <w:b/>
          <w:szCs w:val="24"/>
        </w:rPr>
        <w:t>! Kādēļ iespēja atkāpties no sav</w:t>
      </w:r>
      <w:r w:rsidRPr="00876E76">
        <w:rPr>
          <w:b/>
          <w:szCs w:val="24"/>
        </w:rPr>
        <w:t xml:space="preserve">u saistību izpildes nepārvaramas varas gadījumā </w:t>
      </w:r>
      <w:r w:rsidR="006563D9" w:rsidRPr="00876E76">
        <w:rPr>
          <w:b/>
          <w:szCs w:val="24"/>
        </w:rPr>
        <w:t xml:space="preserve">līguma projektā </w:t>
      </w:r>
      <w:r w:rsidRPr="00876E76">
        <w:rPr>
          <w:b/>
          <w:szCs w:val="24"/>
        </w:rPr>
        <w:t>paredzēta tikai pasūtītājam?</w:t>
      </w:r>
      <w:r w:rsidRPr="00876E76">
        <w:rPr>
          <w:szCs w:val="24"/>
        </w:rPr>
        <w:t xml:space="preserve"> </w:t>
      </w:r>
    </w:p>
    <w:p w:rsidR="003469D6" w:rsidRPr="003469D6" w:rsidRDefault="003469D6" w:rsidP="0012072D">
      <w:pPr>
        <w:spacing w:after="120" w:line="240" w:lineRule="auto"/>
        <w:ind w:left="360" w:right="-199"/>
        <w:jc w:val="both"/>
        <w:rPr>
          <w:color w:val="0070C0"/>
          <w:szCs w:val="24"/>
          <w:u w:val="single"/>
        </w:rPr>
      </w:pPr>
      <w:r w:rsidRPr="003469D6">
        <w:rPr>
          <w:color w:val="0070C0"/>
          <w:szCs w:val="24"/>
          <w:u w:val="single"/>
        </w:rPr>
        <w:t>Atbilde:</w:t>
      </w:r>
    </w:p>
    <w:p w:rsidR="00E77ED8" w:rsidRDefault="00E77ED8" w:rsidP="0012072D">
      <w:pPr>
        <w:spacing w:after="120" w:line="240" w:lineRule="auto"/>
        <w:ind w:left="360" w:right="-199"/>
        <w:jc w:val="both"/>
        <w:rPr>
          <w:color w:val="0070C0"/>
          <w:szCs w:val="24"/>
        </w:rPr>
      </w:pPr>
      <w:r>
        <w:rPr>
          <w:color w:val="0070C0"/>
          <w:szCs w:val="24"/>
        </w:rPr>
        <w:t>L</w:t>
      </w:r>
      <w:r w:rsidR="0012072D" w:rsidRPr="00C23F2E">
        <w:rPr>
          <w:color w:val="0070C0"/>
          <w:szCs w:val="24"/>
        </w:rPr>
        <w:t>īgum</w:t>
      </w:r>
      <w:r>
        <w:rPr>
          <w:color w:val="0070C0"/>
          <w:szCs w:val="24"/>
        </w:rPr>
        <w:t xml:space="preserve">a projekta </w:t>
      </w:r>
      <w:r w:rsidR="0012072D" w:rsidRPr="00C23F2E">
        <w:rPr>
          <w:color w:val="0070C0"/>
          <w:szCs w:val="24"/>
        </w:rPr>
        <w:t>7.1</w:t>
      </w:r>
      <w:r w:rsidR="00446350">
        <w:rPr>
          <w:color w:val="0070C0"/>
          <w:szCs w:val="24"/>
        </w:rPr>
        <w:t>.</w:t>
      </w:r>
      <w:r w:rsidR="0012072D" w:rsidRPr="00C23F2E">
        <w:rPr>
          <w:color w:val="0070C0"/>
          <w:szCs w:val="24"/>
        </w:rPr>
        <w:t xml:space="preserve"> </w:t>
      </w:r>
      <w:r>
        <w:rPr>
          <w:color w:val="0070C0"/>
          <w:szCs w:val="24"/>
        </w:rPr>
        <w:t>apakš</w:t>
      </w:r>
      <w:r w:rsidR="0012072D" w:rsidRPr="00C23F2E">
        <w:rPr>
          <w:color w:val="0070C0"/>
          <w:szCs w:val="24"/>
        </w:rPr>
        <w:t>punkt</w:t>
      </w:r>
      <w:r>
        <w:rPr>
          <w:color w:val="0070C0"/>
          <w:szCs w:val="24"/>
        </w:rPr>
        <w:t xml:space="preserve">ā tiek atrunāta abu pušu atbrīvošana </w:t>
      </w:r>
      <w:r w:rsidR="0012072D" w:rsidRPr="00C23F2E">
        <w:rPr>
          <w:color w:val="0070C0"/>
          <w:szCs w:val="24"/>
        </w:rPr>
        <w:t xml:space="preserve"> no atbildības, ja šāda neizpilde radusies nepārvaramas varas vai ārkārtēja rakstur</w:t>
      </w:r>
      <w:r w:rsidR="00D2056B">
        <w:rPr>
          <w:color w:val="0070C0"/>
          <w:szCs w:val="24"/>
        </w:rPr>
        <w:t>a</w:t>
      </w:r>
      <w:r w:rsidR="0012072D" w:rsidRPr="00C23F2E">
        <w:rPr>
          <w:color w:val="0070C0"/>
          <w:szCs w:val="24"/>
        </w:rPr>
        <w:t xml:space="preserve"> apstākļu rezultātā. </w:t>
      </w:r>
    </w:p>
    <w:p w:rsidR="005B55A5" w:rsidRPr="00D2056B" w:rsidRDefault="00E77ED8" w:rsidP="0012072D">
      <w:pPr>
        <w:spacing w:after="120" w:line="240" w:lineRule="auto"/>
        <w:ind w:left="360" w:right="-199"/>
        <w:jc w:val="both"/>
        <w:rPr>
          <w:color w:val="4472C4" w:themeColor="accent1"/>
          <w:szCs w:val="24"/>
        </w:rPr>
      </w:pPr>
      <w:r w:rsidRPr="00D2056B">
        <w:rPr>
          <w:color w:val="4472C4" w:themeColor="accent1"/>
          <w:szCs w:val="24"/>
        </w:rPr>
        <w:t>Līguma projekta 7.4.apakšpunktā iespēja atkāpties no savu saistības izpildes nepārvaramas varas gadījumā, ja Pakalpojuma piegāde aizkavējas vairāk par 45 (četrdesmit piecām) dienām ir  paredzēta t</w:t>
      </w:r>
      <w:r w:rsidR="00C2251C" w:rsidRPr="00D2056B">
        <w:rPr>
          <w:color w:val="4472C4" w:themeColor="accent1"/>
          <w:szCs w:val="24"/>
        </w:rPr>
        <w:t xml:space="preserve">ikai Pasūtītājam, jo Pasūtītājs iepirkumu veic </w:t>
      </w:r>
      <w:r w:rsidRPr="00D2056B">
        <w:rPr>
          <w:color w:val="4472C4" w:themeColor="accent1"/>
          <w:szCs w:val="24"/>
        </w:rPr>
        <w:t xml:space="preserve">Eiropas Savienības struktūrfondu </w:t>
      </w:r>
      <w:r w:rsidR="00C2251C" w:rsidRPr="00D2056B">
        <w:rPr>
          <w:color w:val="4472C4" w:themeColor="accent1"/>
          <w:szCs w:val="24"/>
        </w:rPr>
        <w:t>projekta ietvaros par minētā fonda finansējumu</w:t>
      </w:r>
      <w:r w:rsidR="00D2056B">
        <w:rPr>
          <w:color w:val="4472C4" w:themeColor="accent1"/>
          <w:szCs w:val="24"/>
        </w:rPr>
        <w:t>.</w:t>
      </w:r>
      <w:r w:rsidR="00C2251C" w:rsidRPr="00D2056B">
        <w:rPr>
          <w:color w:val="4472C4" w:themeColor="accent1"/>
          <w:szCs w:val="24"/>
        </w:rPr>
        <w:t xml:space="preserve"> </w:t>
      </w:r>
      <w:r w:rsidR="00D2056B">
        <w:rPr>
          <w:color w:val="4472C4" w:themeColor="accent1"/>
          <w:szCs w:val="24"/>
        </w:rPr>
        <w:t>L</w:t>
      </w:r>
      <w:r w:rsidR="00C2251C" w:rsidRPr="00D2056B">
        <w:rPr>
          <w:color w:val="4472C4" w:themeColor="accent1"/>
          <w:szCs w:val="24"/>
        </w:rPr>
        <w:t>īguma izpildes aizkavēšanās gadījumā Pasūtītājam Līguma nodevumi projekta ietvaros vairs nav vajadzīgi</w:t>
      </w:r>
      <w:r w:rsidR="00D2056B">
        <w:rPr>
          <w:color w:val="4472C4" w:themeColor="accent1"/>
          <w:szCs w:val="24"/>
        </w:rPr>
        <w:t>,</w:t>
      </w:r>
      <w:r w:rsidR="00C2251C" w:rsidRPr="00D2056B">
        <w:rPr>
          <w:color w:val="4472C4" w:themeColor="accent1"/>
          <w:szCs w:val="24"/>
        </w:rPr>
        <w:t xml:space="preserve"> kā arī nav finansējuma, ko samaksāt Piegādātajam</w:t>
      </w:r>
      <w:r w:rsidR="00D2056B" w:rsidRPr="00D2056B">
        <w:rPr>
          <w:color w:val="4472C4" w:themeColor="accent1"/>
          <w:szCs w:val="24"/>
        </w:rPr>
        <w:t>.</w:t>
      </w:r>
    </w:p>
    <w:p w:rsidR="00901AC8" w:rsidRPr="00876E76" w:rsidRDefault="00901AC8" w:rsidP="00901AC8">
      <w:pPr>
        <w:numPr>
          <w:ilvl w:val="0"/>
          <w:numId w:val="2"/>
        </w:numPr>
        <w:spacing w:after="120" w:line="240" w:lineRule="auto"/>
        <w:ind w:right="-199"/>
        <w:jc w:val="both"/>
        <w:rPr>
          <w:szCs w:val="24"/>
        </w:rPr>
      </w:pPr>
      <w:r w:rsidRPr="00876E76">
        <w:rPr>
          <w:szCs w:val="24"/>
        </w:rPr>
        <w:t xml:space="preserve">Līguma </w:t>
      </w:r>
      <w:r w:rsidR="006563D9" w:rsidRPr="00876E76">
        <w:rPr>
          <w:szCs w:val="24"/>
        </w:rPr>
        <w:t>projekta 10.1.</w:t>
      </w:r>
      <w:r w:rsidRPr="00876E76">
        <w:rPr>
          <w:szCs w:val="24"/>
        </w:rPr>
        <w:t>punktā no</w:t>
      </w:r>
      <w:r w:rsidR="006563D9" w:rsidRPr="00876E76">
        <w:rPr>
          <w:szCs w:val="24"/>
        </w:rPr>
        <w:t>t</w:t>
      </w:r>
      <w:r w:rsidRPr="00876E76">
        <w:rPr>
          <w:szCs w:val="24"/>
        </w:rPr>
        <w:t xml:space="preserve">eiks, ka </w:t>
      </w:r>
      <w:r w:rsidR="006563D9" w:rsidRPr="00876E76">
        <w:rPr>
          <w:szCs w:val="24"/>
        </w:rPr>
        <w:t>l</w:t>
      </w:r>
      <w:r w:rsidRPr="00876E76">
        <w:rPr>
          <w:szCs w:val="24"/>
        </w:rPr>
        <w:t xml:space="preserve">īguma izpildes laikā Puses vadās pēc Civillikuma normām par pirkuma līgumu. </w:t>
      </w:r>
      <w:r w:rsidRPr="00876E76">
        <w:rPr>
          <w:b/>
          <w:szCs w:val="24"/>
        </w:rPr>
        <w:t>Paskaidrojiet, kādēļ šim līgumam paredzēts piemērot pirkuma līguma noteikumu, ja tas nav pirkuma līgums?</w:t>
      </w:r>
    </w:p>
    <w:p w:rsidR="003469D6" w:rsidRPr="003469D6" w:rsidRDefault="003469D6" w:rsidP="003469D6">
      <w:pPr>
        <w:pStyle w:val="ListParagraph"/>
        <w:spacing w:after="120" w:line="240" w:lineRule="auto"/>
        <w:ind w:left="360" w:right="-199"/>
        <w:jc w:val="both"/>
        <w:rPr>
          <w:color w:val="0070C0"/>
          <w:szCs w:val="24"/>
          <w:u w:val="single"/>
        </w:rPr>
      </w:pPr>
      <w:r w:rsidRPr="003469D6">
        <w:rPr>
          <w:color w:val="0070C0"/>
          <w:szCs w:val="24"/>
          <w:u w:val="single"/>
        </w:rPr>
        <w:t>Atbilde:</w:t>
      </w:r>
    </w:p>
    <w:p w:rsidR="002E71F9" w:rsidRPr="002E61B8" w:rsidRDefault="00771972" w:rsidP="002E71F9">
      <w:pPr>
        <w:spacing w:after="120" w:line="240" w:lineRule="auto"/>
        <w:ind w:left="360" w:right="-199"/>
        <w:jc w:val="both"/>
        <w:rPr>
          <w:color w:val="0070C0"/>
          <w:szCs w:val="24"/>
        </w:rPr>
      </w:pPr>
      <w:r w:rsidRPr="002E61B8">
        <w:rPr>
          <w:color w:val="0070C0"/>
          <w:szCs w:val="24"/>
        </w:rPr>
        <w:t>Līguma projekta 10.1. punktā ir</w:t>
      </w:r>
      <w:r w:rsidR="002E61B8" w:rsidRPr="002E61B8">
        <w:rPr>
          <w:color w:val="0070C0"/>
          <w:szCs w:val="24"/>
        </w:rPr>
        <w:t xml:space="preserve"> </w:t>
      </w:r>
      <w:r w:rsidRPr="002E61B8">
        <w:rPr>
          <w:color w:val="0070C0"/>
          <w:szCs w:val="24"/>
        </w:rPr>
        <w:t>teh</w:t>
      </w:r>
      <w:r w:rsidR="002E71F9" w:rsidRPr="002E61B8">
        <w:rPr>
          <w:color w:val="0070C0"/>
          <w:szCs w:val="24"/>
        </w:rPr>
        <w:t xml:space="preserve">niska </w:t>
      </w:r>
      <w:r w:rsidR="002E61B8" w:rsidRPr="002E61B8">
        <w:rPr>
          <w:color w:val="0070C0"/>
          <w:szCs w:val="24"/>
        </w:rPr>
        <w:t xml:space="preserve">redakcionāla </w:t>
      </w:r>
      <w:r w:rsidR="002E71F9" w:rsidRPr="002E61B8">
        <w:rPr>
          <w:color w:val="0070C0"/>
          <w:szCs w:val="24"/>
        </w:rPr>
        <w:t>kļ</w:t>
      </w:r>
      <w:r w:rsidRPr="002E61B8">
        <w:rPr>
          <w:color w:val="0070C0"/>
          <w:szCs w:val="24"/>
        </w:rPr>
        <w:t>ūda. Šis līgums tiek uzskatīts kā pakalpojum</w:t>
      </w:r>
      <w:r w:rsidR="00D2056B">
        <w:rPr>
          <w:color w:val="0070C0"/>
          <w:szCs w:val="24"/>
        </w:rPr>
        <w:t>a</w:t>
      </w:r>
      <w:r w:rsidRPr="002E61B8">
        <w:rPr>
          <w:color w:val="0070C0"/>
          <w:szCs w:val="24"/>
        </w:rPr>
        <w:t xml:space="preserve"> līgums.  </w:t>
      </w:r>
    </w:p>
    <w:p w:rsidR="00901AC8" w:rsidRPr="00876E76" w:rsidRDefault="00901AC8" w:rsidP="00901AC8">
      <w:pPr>
        <w:spacing w:before="60" w:line="276" w:lineRule="auto"/>
        <w:ind w:right="-199"/>
        <w:jc w:val="both"/>
        <w:rPr>
          <w:szCs w:val="24"/>
        </w:rPr>
      </w:pPr>
    </w:p>
    <w:sectPr w:rsidR="00901AC8" w:rsidRPr="00876E76" w:rsidSect="003277DC">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7AA" w:rsidRDefault="002E67AA" w:rsidP="002E61B8">
      <w:pPr>
        <w:spacing w:line="240" w:lineRule="auto"/>
      </w:pPr>
      <w:r>
        <w:separator/>
      </w:r>
    </w:p>
  </w:endnote>
  <w:endnote w:type="continuationSeparator" w:id="0">
    <w:p w:rsidR="002E67AA" w:rsidRDefault="002E67AA" w:rsidP="002E61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14172"/>
      <w:docPartObj>
        <w:docPartGallery w:val="Page Numbers (Bottom of Page)"/>
        <w:docPartUnique/>
      </w:docPartObj>
    </w:sdtPr>
    <w:sdtEndPr/>
    <w:sdtContent>
      <w:p w:rsidR="002E61B8" w:rsidRDefault="00CE0FD0">
        <w:pPr>
          <w:pStyle w:val="Footer"/>
          <w:jc w:val="center"/>
        </w:pPr>
        <w:r>
          <w:fldChar w:fldCharType="begin"/>
        </w:r>
        <w:r>
          <w:instrText xml:space="preserve"> PAGE   \* MERGEFORMAT </w:instrText>
        </w:r>
        <w:r>
          <w:fldChar w:fldCharType="separate"/>
        </w:r>
        <w:r w:rsidR="003277DC">
          <w:rPr>
            <w:noProof/>
          </w:rPr>
          <w:t>3</w:t>
        </w:r>
        <w:r>
          <w:rPr>
            <w:noProof/>
          </w:rPr>
          <w:fldChar w:fldCharType="end"/>
        </w:r>
      </w:p>
    </w:sdtContent>
  </w:sdt>
  <w:p w:rsidR="002E61B8" w:rsidRDefault="002E61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7AA" w:rsidRDefault="002E67AA" w:rsidP="002E61B8">
      <w:pPr>
        <w:spacing w:line="240" w:lineRule="auto"/>
      </w:pPr>
      <w:r>
        <w:separator/>
      </w:r>
    </w:p>
  </w:footnote>
  <w:footnote w:type="continuationSeparator" w:id="0">
    <w:p w:rsidR="002E67AA" w:rsidRDefault="002E67AA" w:rsidP="002E61B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52AD"/>
    <w:multiLevelType w:val="hybridMultilevel"/>
    <w:tmpl w:val="EB9676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70D3718"/>
    <w:multiLevelType w:val="hybridMultilevel"/>
    <w:tmpl w:val="C3F2D3B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nsid w:val="1A346783"/>
    <w:multiLevelType w:val="hybridMultilevel"/>
    <w:tmpl w:val="82DA4FD6"/>
    <w:lvl w:ilvl="0" w:tplc="528E8B0C">
      <w:start w:val="1"/>
      <w:numFmt w:val="decimal"/>
      <w:lvlText w:val="%1)"/>
      <w:lvlJc w:val="left"/>
      <w:pPr>
        <w:tabs>
          <w:tab w:val="num" w:pos="720"/>
        </w:tabs>
        <w:ind w:left="720" w:hanging="360"/>
      </w:pPr>
      <w:rPr>
        <w:rFonts w:ascii="Times New Roman" w:eastAsia="Times New Roman" w:hAnsi="Times New Roman" w:cs="Times New Roman"/>
        <w:b w:val="0"/>
      </w:rPr>
    </w:lvl>
    <w:lvl w:ilvl="1" w:tplc="04260003">
      <w:start w:val="2"/>
      <w:numFmt w:val="decimal"/>
      <w:lvlText w:val="%2)"/>
      <w:lvlJc w:val="left"/>
      <w:pPr>
        <w:tabs>
          <w:tab w:val="num" w:pos="1440"/>
        </w:tabs>
        <w:ind w:left="1440" w:hanging="360"/>
      </w:pPr>
      <w:rPr>
        <w:rFonts w:cs="Times New Roman" w:hint="default"/>
      </w:rPr>
    </w:lvl>
    <w:lvl w:ilvl="2" w:tplc="04260005">
      <w:start w:val="1"/>
      <w:numFmt w:val="lowerLetter"/>
      <w:lvlText w:val="%3)"/>
      <w:lvlJc w:val="left"/>
      <w:pPr>
        <w:ind w:left="2340" w:hanging="360"/>
      </w:pPr>
      <w:rPr>
        <w:rFonts w:cs="Times New Roman" w:hint="default"/>
      </w:rPr>
    </w:lvl>
    <w:lvl w:ilvl="3" w:tplc="04260001" w:tentative="1">
      <w:start w:val="1"/>
      <w:numFmt w:val="decimal"/>
      <w:lvlText w:val="%4."/>
      <w:lvlJc w:val="left"/>
      <w:pPr>
        <w:tabs>
          <w:tab w:val="num" w:pos="2880"/>
        </w:tabs>
        <w:ind w:left="2880" w:hanging="360"/>
      </w:pPr>
      <w:rPr>
        <w:rFonts w:cs="Times New Roman"/>
      </w:rPr>
    </w:lvl>
    <w:lvl w:ilvl="4" w:tplc="04260003" w:tentative="1">
      <w:start w:val="1"/>
      <w:numFmt w:val="lowerLetter"/>
      <w:lvlText w:val="%5."/>
      <w:lvlJc w:val="left"/>
      <w:pPr>
        <w:tabs>
          <w:tab w:val="num" w:pos="3600"/>
        </w:tabs>
        <w:ind w:left="3600" w:hanging="360"/>
      </w:pPr>
      <w:rPr>
        <w:rFonts w:cs="Times New Roman"/>
      </w:rPr>
    </w:lvl>
    <w:lvl w:ilvl="5" w:tplc="04260005" w:tentative="1">
      <w:start w:val="1"/>
      <w:numFmt w:val="lowerRoman"/>
      <w:lvlText w:val="%6."/>
      <w:lvlJc w:val="right"/>
      <w:pPr>
        <w:tabs>
          <w:tab w:val="num" w:pos="4320"/>
        </w:tabs>
        <w:ind w:left="4320" w:hanging="180"/>
      </w:pPr>
      <w:rPr>
        <w:rFonts w:cs="Times New Roman"/>
      </w:rPr>
    </w:lvl>
    <w:lvl w:ilvl="6" w:tplc="04260001" w:tentative="1">
      <w:start w:val="1"/>
      <w:numFmt w:val="decimal"/>
      <w:lvlText w:val="%7."/>
      <w:lvlJc w:val="left"/>
      <w:pPr>
        <w:tabs>
          <w:tab w:val="num" w:pos="5040"/>
        </w:tabs>
        <w:ind w:left="5040" w:hanging="360"/>
      </w:pPr>
      <w:rPr>
        <w:rFonts w:cs="Times New Roman"/>
      </w:rPr>
    </w:lvl>
    <w:lvl w:ilvl="7" w:tplc="04260003" w:tentative="1">
      <w:start w:val="1"/>
      <w:numFmt w:val="lowerLetter"/>
      <w:lvlText w:val="%8."/>
      <w:lvlJc w:val="left"/>
      <w:pPr>
        <w:tabs>
          <w:tab w:val="num" w:pos="5760"/>
        </w:tabs>
        <w:ind w:left="5760" w:hanging="360"/>
      </w:pPr>
      <w:rPr>
        <w:rFonts w:cs="Times New Roman"/>
      </w:rPr>
    </w:lvl>
    <w:lvl w:ilvl="8" w:tplc="04260005" w:tentative="1">
      <w:start w:val="1"/>
      <w:numFmt w:val="lowerRoman"/>
      <w:lvlText w:val="%9."/>
      <w:lvlJc w:val="right"/>
      <w:pPr>
        <w:tabs>
          <w:tab w:val="num" w:pos="6480"/>
        </w:tabs>
        <w:ind w:left="6480" w:hanging="180"/>
      </w:pPr>
      <w:rPr>
        <w:rFonts w:cs="Times New Roman"/>
      </w:rPr>
    </w:lvl>
  </w:abstractNum>
  <w:abstractNum w:abstractNumId="3">
    <w:nsid w:val="26A676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0791CCA"/>
    <w:multiLevelType w:val="hybridMultilevel"/>
    <w:tmpl w:val="E1669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5A7251"/>
    <w:multiLevelType w:val="multilevel"/>
    <w:tmpl w:val="13A27BB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432"/>
        </w:tabs>
        <w:ind w:left="432" w:hanging="432"/>
      </w:pPr>
      <w:rPr>
        <w:rFonts w:ascii="Times New Roman" w:hAnsi="Times New Roman" w:cs="Times New Roman" w:hint="default"/>
        <w:b/>
        <w:i w:val="0"/>
        <w:sz w:val="24"/>
        <w:szCs w:val="24"/>
      </w:rPr>
    </w:lvl>
    <w:lvl w:ilvl="2">
      <w:start w:val="1"/>
      <w:numFmt w:val="decimal"/>
      <w:lvlText w:val="%1.%2.%3."/>
      <w:lvlJc w:val="left"/>
      <w:pPr>
        <w:tabs>
          <w:tab w:val="num" w:pos="504"/>
        </w:tabs>
        <w:ind w:left="504" w:hanging="504"/>
      </w:pPr>
      <w:rPr>
        <w:rFonts w:ascii="Times New Roman" w:hAnsi="Times New Roman" w:cs="Times New Roman" w:hint="default"/>
        <w:b/>
        <w:i w:val="0"/>
        <w:sz w:val="24"/>
        <w:szCs w:val="24"/>
      </w:rPr>
    </w:lvl>
    <w:lvl w:ilvl="3">
      <w:start w:val="1"/>
      <w:numFmt w:val="decimal"/>
      <w:lvlText w:val="%1.%2.%3.%4."/>
      <w:lvlJc w:val="left"/>
      <w:pPr>
        <w:tabs>
          <w:tab w:val="num" w:pos="2847"/>
        </w:tabs>
        <w:ind w:left="2775"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67"/>
    <w:rsid w:val="000624A2"/>
    <w:rsid w:val="000701A9"/>
    <w:rsid w:val="000F548E"/>
    <w:rsid w:val="0012072D"/>
    <w:rsid w:val="00131225"/>
    <w:rsid w:val="001A7230"/>
    <w:rsid w:val="001B1D43"/>
    <w:rsid w:val="001D6BEA"/>
    <w:rsid w:val="00234A0F"/>
    <w:rsid w:val="00241EA3"/>
    <w:rsid w:val="002B58A3"/>
    <w:rsid w:val="002E61B8"/>
    <w:rsid w:val="002E67AA"/>
    <w:rsid w:val="002E71F9"/>
    <w:rsid w:val="003277DC"/>
    <w:rsid w:val="00327E2F"/>
    <w:rsid w:val="003469D6"/>
    <w:rsid w:val="00381AB3"/>
    <w:rsid w:val="00387D7E"/>
    <w:rsid w:val="003C1F4B"/>
    <w:rsid w:val="003C5751"/>
    <w:rsid w:val="003D610D"/>
    <w:rsid w:val="00446350"/>
    <w:rsid w:val="004639F6"/>
    <w:rsid w:val="004803AA"/>
    <w:rsid w:val="004D006D"/>
    <w:rsid w:val="00514F2F"/>
    <w:rsid w:val="00527B1E"/>
    <w:rsid w:val="00573167"/>
    <w:rsid w:val="00581A2D"/>
    <w:rsid w:val="00593F5E"/>
    <w:rsid w:val="005A0403"/>
    <w:rsid w:val="005B55A5"/>
    <w:rsid w:val="005D316D"/>
    <w:rsid w:val="00636A5D"/>
    <w:rsid w:val="00654DB9"/>
    <w:rsid w:val="006563D9"/>
    <w:rsid w:val="006C30ED"/>
    <w:rsid w:val="006F3C3C"/>
    <w:rsid w:val="006F6891"/>
    <w:rsid w:val="00701798"/>
    <w:rsid w:val="00720C0C"/>
    <w:rsid w:val="007657DD"/>
    <w:rsid w:val="00770ABE"/>
    <w:rsid w:val="00771972"/>
    <w:rsid w:val="00777343"/>
    <w:rsid w:val="007E2A52"/>
    <w:rsid w:val="0080185D"/>
    <w:rsid w:val="008108C4"/>
    <w:rsid w:val="00832A7A"/>
    <w:rsid w:val="00876E76"/>
    <w:rsid w:val="008C52F4"/>
    <w:rsid w:val="008F65D1"/>
    <w:rsid w:val="00901AC8"/>
    <w:rsid w:val="009A13F7"/>
    <w:rsid w:val="009A4DD6"/>
    <w:rsid w:val="009A4E9F"/>
    <w:rsid w:val="009C0A39"/>
    <w:rsid w:val="009C60FA"/>
    <w:rsid w:val="009E1959"/>
    <w:rsid w:val="00A0735B"/>
    <w:rsid w:val="00A07618"/>
    <w:rsid w:val="00A26FB9"/>
    <w:rsid w:val="00A45C39"/>
    <w:rsid w:val="00A543AB"/>
    <w:rsid w:val="00A55F92"/>
    <w:rsid w:val="00A63F5D"/>
    <w:rsid w:val="00AE162F"/>
    <w:rsid w:val="00B25939"/>
    <w:rsid w:val="00B37D0E"/>
    <w:rsid w:val="00B44C96"/>
    <w:rsid w:val="00B74CFD"/>
    <w:rsid w:val="00B90CD8"/>
    <w:rsid w:val="00B979E0"/>
    <w:rsid w:val="00BB260C"/>
    <w:rsid w:val="00C07190"/>
    <w:rsid w:val="00C2251C"/>
    <w:rsid w:val="00C2318E"/>
    <w:rsid w:val="00C23F2E"/>
    <w:rsid w:val="00C8758F"/>
    <w:rsid w:val="00C924D9"/>
    <w:rsid w:val="00CC301A"/>
    <w:rsid w:val="00CC3659"/>
    <w:rsid w:val="00CE0FD0"/>
    <w:rsid w:val="00D2056B"/>
    <w:rsid w:val="00D51BAF"/>
    <w:rsid w:val="00D63D9A"/>
    <w:rsid w:val="00DB27AC"/>
    <w:rsid w:val="00E616DA"/>
    <w:rsid w:val="00E703B8"/>
    <w:rsid w:val="00E77ED8"/>
    <w:rsid w:val="00EA61F0"/>
    <w:rsid w:val="00F27E29"/>
    <w:rsid w:val="00F4420C"/>
    <w:rsid w:val="00F53376"/>
    <w:rsid w:val="00FE5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E0"/>
    <w:pPr>
      <w:spacing w:after="0"/>
    </w:pPr>
    <w:rPr>
      <w:rFonts w:ascii="Times New Roman" w:hAnsi="Times New Roman"/>
      <w:color w:val="000000" w:themeColor="text1"/>
      <w:sz w:val="24"/>
      <w:lang w:val="lv-LV"/>
    </w:rPr>
  </w:style>
  <w:style w:type="paragraph" w:styleId="Heading9">
    <w:name w:val="heading 9"/>
    <w:basedOn w:val="Normal"/>
    <w:next w:val="Normal"/>
    <w:link w:val="Heading9Char"/>
    <w:uiPriority w:val="99"/>
    <w:qFormat/>
    <w:rsid w:val="004D006D"/>
    <w:pPr>
      <w:keepNext/>
      <w:widowControl w:val="0"/>
      <w:autoSpaceDE w:val="0"/>
      <w:autoSpaceDN w:val="0"/>
      <w:spacing w:line="240" w:lineRule="auto"/>
      <w:jc w:val="center"/>
      <w:outlineLvl w:val="8"/>
    </w:pPr>
    <w:rPr>
      <w:rFonts w:eastAsia="Times New Roman"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73167"/>
    <w:rPr>
      <w:rFonts w:cs="Times New Roman"/>
      <w:color w:val="0000FF"/>
      <w:u w:val="single"/>
    </w:rPr>
  </w:style>
  <w:style w:type="paragraph" w:styleId="ListParagraph">
    <w:name w:val="List Paragraph"/>
    <w:basedOn w:val="Normal"/>
    <w:uiPriority w:val="34"/>
    <w:qFormat/>
    <w:rsid w:val="00381AB3"/>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rsid w:val="00381AB3"/>
    <w:pPr>
      <w:spacing w:line="240" w:lineRule="auto"/>
    </w:pPr>
    <w:rPr>
      <w:rFonts w:eastAsia="Times New Roman" w:cs="Times New Roman"/>
      <w:color w:val="auto"/>
      <w:szCs w:val="20"/>
    </w:rPr>
  </w:style>
  <w:style w:type="character" w:customStyle="1" w:styleId="FootnoteTextChar">
    <w:name w:val="Footnote Text Char"/>
    <w:aliases w:val="Footnote Char,Fußnote Char,Char Char,Char Rakstz. Rakstz. Rakstz. Rakstz. Rakstz. Rakstz. Rakstz. Char,Char Rakstz. Rakstz. Rakstz. Rakstz. Rakstz. Rakstz. Char,single spa Char"/>
    <w:basedOn w:val="DefaultParagraphFont"/>
    <w:link w:val="FootnoteText"/>
    <w:rsid w:val="00381AB3"/>
    <w:rPr>
      <w:rFonts w:ascii="Times New Roman" w:eastAsia="Times New Roman" w:hAnsi="Times New Roman" w:cs="Times New Roman"/>
      <w:sz w:val="24"/>
      <w:szCs w:val="20"/>
      <w:lang w:val="lv-LV"/>
    </w:rPr>
  </w:style>
  <w:style w:type="character" w:styleId="CommentReference">
    <w:name w:val="annotation reference"/>
    <w:uiPriority w:val="99"/>
    <w:rsid w:val="00E703B8"/>
    <w:rPr>
      <w:rFonts w:cs="Times New Roman"/>
      <w:sz w:val="16"/>
    </w:rPr>
  </w:style>
  <w:style w:type="paragraph" w:styleId="CommentText">
    <w:name w:val="annotation text"/>
    <w:basedOn w:val="Normal"/>
    <w:link w:val="CommentTextChar"/>
    <w:uiPriority w:val="99"/>
    <w:rsid w:val="00E703B8"/>
    <w:pPr>
      <w:spacing w:line="240" w:lineRule="auto"/>
    </w:pPr>
    <w:rPr>
      <w:rFonts w:eastAsia="Times New Roman" w:cs="Times New Roman"/>
      <w:color w:val="auto"/>
      <w:sz w:val="20"/>
      <w:szCs w:val="20"/>
    </w:rPr>
  </w:style>
  <w:style w:type="character" w:customStyle="1" w:styleId="CommentTextChar">
    <w:name w:val="Comment Text Char"/>
    <w:basedOn w:val="DefaultParagraphFont"/>
    <w:link w:val="CommentText"/>
    <w:uiPriority w:val="99"/>
    <w:rsid w:val="00E703B8"/>
    <w:rPr>
      <w:rFonts w:ascii="Times New Roman" w:eastAsia="Times New Roman" w:hAnsi="Times New Roman" w:cs="Times New Roman"/>
      <w:sz w:val="20"/>
      <w:szCs w:val="20"/>
      <w:lang w:val="lv-LV"/>
    </w:rPr>
  </w:style>
  <w:style w:type="character" w:styleId="Emphasis">
    <w:name w:val="Emphasis"/>
    <w:uiPriority w:val="20"/>
    <w:qFormat/>
    <w:rsid w:val="00E703B8"/>
    <w:rPr>
      <w:rFonts w:cs="Times New Roman"/>
      <w:i/>
    </w:rPr>
  </w:style>
  <w:style w:type="paragraph" w:styleId="BalloonText">
    <w:name w:val="Balloon Text"/>
    <w:basedOn w:val="Normal"/>
    <w:link w:val="BalloonTextChar"/>
    <w:uiPriority w:val="99"/>
    <w:semiHidden/>
    <w:unhideWhenUsed/>
    <w:rsid w:val="00E703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3B8"/>
    <w:rPr>
      <w:rFonts w:ascii="Segoe UI" w:hAnsi="Segoe UI" w:cs="Segoe UI"/>
      <w:color w:val="000000" w:themeColor="text1"/>
      <w:sz w:val="18"/>
      <w:szCs w:val="18"/>
      <w:lang w:val="lv-LV"/>
    </w:rPr>
  </w:style>
  <w:style w:type="character" w:customStyle="1" w:styleId="Heading9Char">
    <w:name w:val="Heading 9 Char"/>
    <w:basedOn w:val="DefaultParagraphFont"/>
    <w:link w:val="Heading9"/>
    <w:uiPriority w:val="99"/>
    <w:rsid w:val="004D006D"/>
    <w:rPr>
      <w:rFonts w:ascii="Times New Roman" w:eastAsia="Times New Roman" w:hAnsi="Times New Roman" w:cs="Times New Roman"/>
      <w:sz w:val="28"/>
      <w:szCs w:val="20"/>
      <w:lang w:val="lv-LV"/>
    </w:rPr>
  </w:style>
  <w:style w:type="paragraph" w:styleId="CommentSubject">
    <w:name w:val="annotation subject"/>
    <w:basedOn w:val="CommentText"/>
    <w:next w:val="CommentText"/>
    <w:link w:val="CommentSubjectChar"/>
    <w:uiPriority w:val="99"/>
    <w:semiHidden/>
    <w:unhideWhenUsed/>
    <w:rsid w:val="00A07618"/>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A07618"/>
    <w:rPr>
      <w:rFonts w:ascii="Times New Roman" w:eastAsia="Times New Roman" w:hAnsi="Times New Roman" w:cs="Times New Roman"/>
      <w:b/>
      <w:bCs/>
      <w:color w:val="000000" w:themeColor="text1"/>
      <w:sz w:val="20"/>
      <w:szCs w:val="20"/>
      <w:lang w:val="lv-LV"/>
    </w:rPr>
  </w:style>
  <w:style w:type="paragraph" w:customStyle="1" w:styleId="tv213">
    <w:name w:val="tv213"/>
    <w:basedOn w:val="Normal"/>
    <w:rsid w:val="00D63D9A"/>
    <w:pPr>
      <w:spacing w:before="100" w:beforeAutospacing="1" w:after="100" w:afterAutospacing="1" w:line="240" w:lineRule="auto"/>
    </w:pPr>
    <w:rPr>
      <w:rFonts w:eastAsia="Times New Roman" w:cs="Times New Roman"/>
      <w:color w:val="auto"/>
      <w:szCs w:val="24"/>
      <w:lang w:eastAsia="lv-LV"/>
    </w:rPr>
  </w:style>
  <w:style w:type="paragraph" w:styleId="Header">
    <w:name w:val="header"/>
    <w:basedOn w:val="Normal"/>
    <w:link w:val="HeaderChar"/>
    <w:uiPriority w:val="99"/>
    <w:semiHidden/>
    <w:unhideWhenUsed/>
    <w:rsid w:val="002E61B8"/>
    <w:pPr>
      <w:tabs>
        <w:tab w:val="center" w:pos="4153"/>
        <w:tab w:val="right" w:pos="8306"/>
      </w:tabs>
      <w:spacing w:line="240" w:lineRule="auto"/>
    </w:pPr>
  </w:style>
  <w:style w:type="character" w:customStyle="1" w:styleId="HeaderChar">
    <w:name w:val="Header Char"/>
    <w:basedOn w:val="DefaultParagraphFont"/>
    <w:link w:val="Header"/>
    <w:uiPriority w:val="99"/>
    <w:semiHidden/>
    <w:rsid w:val="002E61B8"/>
    <w:rPr>
      <w:rFonts w:ascii="Times New Roman" w:hAnsi="Times New Roman"/>
      <w:color w:val="000000" w:themeColor="text1"/>
      <w:sz w:val="24"/>
      <w:lang w:val="lv-LV"/>
    </w:rPr>
  </w:style>
  <w:style w:type="paragraph" w:styleId="Footer">
    <w:name w:val="footer"/>
    <w:basedOn w:val="Normal"/>
    <w:link w:val="FooterChar"/>
    <w:uiPriority w:val="99"/>
    <w:unhideWhenUsed/>
    <w:rsid w:val="002E61B8"/>
    <w:pPr>
      <w:tabs>
        <w:tab w:val="center" w:pos="4153"/>
        <w:tab w:val="right" w:pos="8306"/>
      </w:tabs>
      <w:spacing w:line="240" w:lineRule="auto"/>
    </w:pPr>
  </w:style>
  <w:style w:type="character" w:customStyle="1" w:styleId="FooterChar">
    <w:name w:val="Footer Char"/>
    <w:basedOn w:val="DefaultParagraphFont"/>
    <w:link w:val="Footer"/>
    <w:uiPriority w:val="99"/>
    <w:rsid w:val="002E61B8"/>
    <w:rPr>
      <w:rFonts w:ascii="Times New Roman" w:hAnsi="Times New Roman"/>
      <w:color w:val="000000" w:themeColor="text1"/>
      <w:sz w:val="24"/>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E0"/>
    <w:pPr>
      <w:spacing w:after="0"/>
    </w:pPr>
    <w:rPr>
      <w:rFonts w:ascii="Times New Roman" w:hAnsi="Times New Roman"/>
      <w:color w:val="000000" w:themeColor="text1"/>
      <w:sz w:val="24"/>
      <w:lang w:val="lv-LV"/>
    </w:rPr>
  </w:style>
  <w:style w:type="paragraph" w:styleId="Heading9">
    <w:name w:val="heading 9"/>
    <w:basedOn w:val="Normal"/>
    <w:next w:val="Normal"/>
    <w:link w:val="Heading9Char"/>
    <w:uiPriority w:val="99"/>
    <w:qFormat/>
    <w:rsid w:val="004D006D"/>
    <w:pPr>
      <w:keepNext/>
      <w:widowControl w:val="0"/>
      <w:autoSpaceDE w:val="0"/>
      <w:autoSpaceDN w:val="0"/>
      <w:spacing w:line="240" w:lineRule="auto"/>
      <w:jc w:val="center"/>
      <w:outlineLvl w:val="8"/>
    </w:pPr>
    <w:rPr>
      <w:rFonts w:eastAsia="Times New Roman"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73167"/>
    <w:rPr>
      <w:rFonts w:cs="Times New Roman"/>
      <w:color w:val="0000FF"/>
      <w:u w:val="single"/>
    </w:rPr>
  </w:style>
  <w:style w:type="paragraph" w:styleId="ListParagraph">
    <w:name w:val="List Paragraph"/>
    <w:basedOn w:val="Normal"/>
    <w:uiPriority w:val="34"/>
    <w:qFormat/>
    <w:rsid w:val="00381AB3"/>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rsid w:val="00381AB3"/>
    <w:pPr>
      <w:spacing w:line="240" w:lineRule="auto"/>
    </w:pPr>
    <w:rPr>
      <w:rFonts w:eastAsia="Times New Roman" w:cs="Times New Roman"/>
      <w:color w:val="auto"/>
      <w:szCs w:val="20"/>
    </w:rPr>
  </w:style>
  <w:style w:type="character" w:customStyle="1" w:styleId="FootnoteTextChar">
    <w:name w:val="Footnote Text Char"/>
    <w:aliases w:val="Footnote Char,Fußnote Char,Char Char,Char Rakstz. Rakstz. Rakstz. Rakstz. Rakstz. Rakstz. Rakstz. Char,Char Rakstz. Rakstz. Rakstz. Rakstz. Rakstz. Rakstz. Char,single spa Char"/>
    <w:basedOn w:val="DefaultParagraphFont"/>
    <w:link w:val="FootnoteText"/>
    <w:rsid w:val="00381AB3"/>
    <w:rPr>
      <w:rFonts w:ascii="Times New Roman" w:eastAsia="Times New Roman" w:hAnsi="Times New Roman" w:cs="Times New Roman"/>
      <w:sz w:val="24"/>
      <w:szCs w:val="20"/>
      <w:lang w:val="lv-LV"/>
    </w:rPr>
  </w:style>
  <w:style w:type="character" w:styleId="CommentReference">
    <w:name w:val="annotation reference"/>
    <w:uiPriority w:val="99"/>
    <w:rsid w:val="00E703B8"/>
    <w:rPr>
      <w:rFonts w:cs="Times New Roman"/>
      <w:sz w:val="16"/>
    </w:rPr>
  </w:style>
  <w:style w:type="paragraph" w:styleId="CommentText">
    <w:name w:val="annotation text"/>
    <w:basedOn w:val="Normal"/>
    <w:link w:val="CommentTextChar"/>
    <w:uiPriority w:val="99"/>
    <w:rsid w:val="00E703B8"/>
    <w:pPr>
      <w:spacing w:line="240" w:lineRule="auto"/>
    </w:pPr>
    <w:rPr>
      <w:rFonts w:eastAsia="Times New Roman" w:cs="Times New Roman"/>
      <w:color w:val="auto"/>
      <w:sz w:val="20"/>
      <w:szCs w:val="20"/>
    </w:rPr>
  </w:style>
  <w:style w:type="character" w:customStyle="1" w:styleId="CommentTextChar">
    <w:name w:val="Comment Text Char"/>
    <w:basedOn w:val="DefaultParagraphFont"/>
    <w:link w:val="CommentText"/>
    <w:uiPriority w:val="99"/>
    <w:rsid w:val="00E703B8"/>
    <w:rPr>
      <w:rFonts w:ascii="Times New Roman" w:eastAsia="Times New Roman" w:hAnsi="Times New Roman" w:cs="Times New Roman"/>
      <w:sz w:val="20"/>
      <w:szCs w:val="20"/>
      <w:lang w:val="lv-LV"/>
    </w:rPr>
  </w:style>
  <w:style w:type="character" w:styleId="Emphasis">
    <w:name w:val="Emphasis"/>
    <w:uiPriority w:val="20"/>
    <w:qFormat/>
    <w:rsid w:val="00E703B8"/>
    <w:rPr>
      <w:rFonts w:cs="Times New Roman"/>
      <w:i/>
    </w:rPr>
  </w:style>
  <w:style w:type="paragraph" w:styleId="BalloonText">
    <w:name w:val="Balloon Text"/>
    <w:basedOn w:val="Normal"/>
    <w:link w:val="BalloonTextChar"/>
    <w:uiPriority w:val="99"/>
    <w:semiHidden/>
    <w:unhideWhenUsed/>
    <w:rsid w:val="00E703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3B8"/>
    <w:rPr>
      <w:rFonts w:ascii="Segoe UI" w:hAnsi="Segoe UI" w:cs="Segoe UI"/>
      <w:color w:val="000000" w:themeColor="text1"/>
      <w:sz w:val="18"/>
      <w:szCs w:val="18"/>
      <w:lang w:val="lv-LV"/>
    </w:rPr>
  </w:style>
  <w:style w:type="character" w:customStyle="1" w:styleId="Heading9Char">
    <w:name w:val="Heading 9 Char"/>
    <w:basedOn w:val="DefaultParagraphFont"/>
    <w:link w:val="Heading9"/>
    <w:uiPriority w:val="99"/>
    <w:rsid w:val="004D006D"/>
    <w:rPr>
      <w:rFonts w:ascii="Times New Roman" w:eastAsia="Times New Roman" w:hAnsi="Times New Roman" w:cs="Times New Roman"/>
      <w:sz w:val="28"/>
      <w:szCs w:val="20"/>
      <w:lang w:val="lv-LV"/>
    </w:rPr>
  </w:style>
  <w:style w:type="paragraph" w:styleId="CommentSubject">
    <w:name w:val="annotation subject"/>
    <w:basedOn w:val="CommentText"/>
    <w:next w:val="CommentText"/>
    <w:link w:val="CommentSubjectChar"/>
    <w:uiPriority w:val="99"/>
    <w:semiHidden/>
    <w:unhideWhenUsed/>
    <w:rsid w:val="00A07618"/>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A07618"/>
    <w:rPr>
      <w:rFonts w:ascii="Times New Roman" w:eastAsia="Times New Roman" w:hAnsi="Times New Roman" w:cs="Times New Roman"/>
      <w:b/>
      <w:bCs/>
      <w:color w:val="000000" w:themeColor="text1"/>
      <w:sz w:val="20"/>
      <w:szCs w:val="20"/>
      <w:lang w:val="lv-LV"/>
    </w:rPr>
  </w:style>
  <w:style w:type="paragraph" w:customStyle="1" w:styleId="tv213">
    <w:name w:val="tv213"/>
    <w:basedOn w:val="Normal"/>
    <w:rsid w:val="00D63D9A"/>
    <w:pPr>
      <w:spacing w:before="100" w:beforeAutospacing="1" w:after="100" w:afterAutospacing="1" w:line="240" w:lineRule="auto"/>
    </w:pPr>
    <w:rPr>
      <w:rFonts w:eastAsia="Times New Roman" w:cs="Times New Roman"/>
      <w:color w:val="auto"/>
      <w:szCs w:val="24"/>
      <w:lang w:eastAsia="lv-LV"/>
    </w:rPr>
  </w:style>
  <w:style w:type="paragraph" w:styleId="Header">
    <w:name w:val="header"/>
    <w:basedOn w:val="Normal"/>
    <w:link w:val="HeaderChar"/>
    <w:uiPriority w:val="99"/>
    <w:semiHidden/>
    <w:unhideWhenUsed/>
    <w:rsid w:val="002E61B8"/>
    <w:pPr>
      <w:tabs>
        <w:tab w:val="center" w:pos="4153"/>
        <w:tab w:val="right" w:pos="8306"/>
      </w:tabs>
      <w:spacing w:line="240" w:lineRule="auto"/>
    </w:pPr>
  </w:style>
  <w:style w:type="character" w:customStyle="1" w:styleId="HeaderChar">
    <w:name w:val="Header Char"/>
    <w:basedOn w:val="DefaultParagraphFont"/>
    <w:link w:val="Header"/>
    <w:uiPriority w:val="99"/>
    <w:semiHidden/>
    <w:rsid w:val="002E61B8"/>
    <w:rPr>
      <w:rFonts w:ascii="Times New Roman" w:hAnsi="Times New Roman"/>
      <w:color w:val="000000" w:themeColor="text1"/>
      <w:sz w:val="24"/>
      <w:lang w:val="lv-LV"/>
    </w:rPr>
  </w:style>
  <w:style w:type="paragraph" w:styleId="Footer">
    <w:name w:val="footer"/>
    <w:basedOn w:val="Normal"/>
    <w:link w:val="FooterChar"/>
    <w:uiPriority w:val="99"/>
    <w:unhideWhenUsed/>
    <w:rsid w:val="002E61B8"/>
    <w:pPr>
      <w:tabs>
        <w:tab w:val="center" w:pos="4153"/>
        <w:tab w:val="right" w:pos="8306"/>
      </w:tabs>
      <w:spacing w:line="240" w:lineRule="auto"/>
    </w:pPr>
  </w:style>
  <w:style w:type="character" w:customStyle="1" w:styleId="FooterChar">
    <w:name w:val="Footer Char"/>
    <w:basedOn w:val="DefaultParagraphFont"/>
    <w:link w:val="Footer"/>
    <w:uiPriority w:val="99"/>
    <w:rsid w:val="002E61B8"/>
    <w:rPr>
      <w:rFonts w:ascii="Times New Roman" w:hAnsi="Times New Roman"/>
      <w:color w:val="000000" w:themeColor="text1"/>
      <w:sz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04407">
      <w:bodyDiv w:val="1"/>
      <w:marLeft w:val="0"/>
      <w:marRight w:val="0"/>
      <w:marTop w:val="0"/>
      <w:marBottom w:val="0"/>
      <w:divBdr>
        <w:top w:val="none" w:sz="0" w:space="0" w:color="auto"/>
        <w:left w:val="none" w:sz="0" w:space="0" w:color="auto"/>
        <w:bottom w:val="none" w:sz="0" w:space="0" w:color="auto"/>
        <w:right w:val="none" w:sz="0" w:space="0" w:color="auto"/>
      </w:divBdr>
    </w:div>
    <w:div w:id="1270048585">
      <w:bodyDiv w:val="1"/>
      <w:marLeft w:val="0"/>
      <w:marRight w:val="0"/>
      <w:marTop w:val="0"/>
      <w:marBottom w:val="0"/>
      <w:divBdr>
        <w:top w:val="none" w:sz="0" w:space="0" w:color="auto"/>
        <w:left w:val="none" w:sz="0" w:space="0" w:color="auto"/>
        <w:bottom w:val="none" w:sz="0" w:space="0" w:color="auto"/>
        <w:right w:val="none" w:sz="0" w:space="0" w:color="auto"/>
      </w:divBdr>
      <w:divsChild>
        <w:div w:id="1580482187">
          <w:marLeft w:val="0"/>
          <w:marRight w:val="0"/>
          <w:marTop w:val="0"/>
          <w:marBottom w:val="0"/>
          <w:divBdr>
            <w:top w:val="none" w:sz="0" w:space="0" w:color="auto"/>
            <w:left w:val="none" w:sz="0" w:space="0" w:color="auto"/>
            <w:bottom w:val="none" w:sz="0" w:space="0" w:color="auto"/>
            <w:right w:val="none" w:sz="0" w:space="0" w:color="auto"/>
          </w:divBdr>
        </w:div>
        <w:div w:id="1965770172">
          <w:marLeft w:val="0"/>
          <w:marRight w:val="0"/>
          <w:marTop w:val="0"/>
          <w:marBottom w:val="0"/>
          <w:divBdr>
            <w:top w:val="none" w:sz="0" w:space="0" w:color="auto"/>
            <w:left w:val="none" w:sz="0" w:space="0" w:color="auto"/>
            <w:bottom w:val="none" w:sz="0" w:space="0" w:color="auto"/>
            <w:right w:val="none" w:sz="0" w:space="0" w:color="auto"/>
          </w:divBdr>
        </w:div>
        <w:div w:id="1489979269">
          <w:marLeft w:val="0"/>
          <w:marRight w:val="0"/>
          <w:marTop w:val="0"/>
          <w:marBottom w:val="0"/>
          <w:divBdr>
            <w:top w:val="none" w:sz="0" w:space="0" w:color="auto"/>
            <w:left w:val="none" w:sz="0" w:space="0" w:color="auto"/>
            <w:bottom w:val="none" w:sz="0" w:space="0" w:color="auto"/>
            <w:right w:val="none" w:sz="0" w:space="0" w:color="auto"/>
          </w:divBdr>
        </w:div>
        <w:div w:id="1459642431">
          <w:marLeft w:val="0"/>
          <w:marRight w:val="0"/>
          <w:marTop w:val="0"/>
          <w:marBottom w:val="0"/>
          <w:divBdr>
            <w:top w:val="none" w:sz="0" w:space="0" w:color="auto"/>
            <w:left w:val="none" w:sz="0" w:space="0" w:color="auto"/>
            <w:bottom w:val="none" w:sz="0" w:space="0" w:color="auto"/>
            <w:right w:val="none" w:sz="0" w:space="0" w:color="auto"/>
          </w:divBdr>
        </w:div>
        <w:div w:id="2064134406">
          <w:marLeft w:val="0"/>
          <w:marRight w:val="0"/>
          <w:marTop w:val="0"/>
          <w:marBottom w:val="0"/>
          <w:divBdr>
            <w:top w:val="none" w:sz="0" w:space="0" w:color="auto"/>
            <w:left w:val="none" w:sz="0" w:space="0" w:color="auto"/>
            <w:bottom w:val="none" w:sz="0" w:space="0" w:color="auto"/>
            <w:right w:val="none" w:sz="0" w:space="0" w:color="auto"/>
          </w:divBdr>
        </w:div>
        <w:div w:id="1167355975">
          <w:marLeft w:val="0"/>
          <w:marRight w:val="0"/>
          <w:marTop w:val="0"/>
          <w:marBottom w:val="0"/>
          <w:divBdr>
            <w:top w:val="none" w:sz="0" w:space="0" w:color="auto"/>
            <w:left w:val="none" w:sz="0" w:space="0" w:color="auto"/>
            <w:bottom w:val="none" w:sz="0" w:space="0" w:color="auto"/>
            <w:right w:val="none" w:sz="0" w:space="0" w:color="auto"/>
          </w:divBdr>
        </w:div>
        <w:div w:id="1976711377">
          <w:marLeft w:val="0"/>
          <w:marRight w:val="0"/>
          <w:marTop w:val="0"/>
          <w:marBottom w:val="0"/>
          <w:divBdr>
            <w:top w:val="none" w:sz="0" w:space="0" w:color="auto"/>
            <w:left w:val="none" w:sz="0" w:space="0" w:color="auto"/>
            <w:bottom w:val="none" w:sz="0" w:space="0" w:color="auto"/>
            <w:right w:val="none" w:sz="0" w:space="0" w:color="auto"/>
          </w:divBdr>
        </w:div>
        <w:div w:id="896204928">
          <w:marLeft w:val="0"/>
          <w:marRight w:val="0"/>
          <w:marTop w:val="0"/>
          <w:marBottom w:val="0"/>
          <w:divBdr>
            <w:top w:val="none" w:sz="0" w:space="0" w:color="auto"/>
            <w:left w:val="none" w:sz="0" w:space="0" w:color="auto"/>
            <w:bottom w:val="none" w:sz="0" w:space="0" w:color="auto"/>
            <w:right w:val="none" w:sz="0" w:space="0" w:color="auto"/>
          </w:divBdr>
        </w:div>
        <w:div w:id="758646731">
          <w:marLeft w:val="0"/>
          <w:marRight w:val="0"/>
          <w:marTop w:val="0"/>
          <w:marBottom w:val="0"/>
          <w:divBdr>
            <w:top w:val="none" w:sz="0" w:space="0" w:color="auto"/>
            <w:left w:val="none" w:sz="0" w:space="0" w:color="auto"/>
            <w:bottom w:val="none" w:sz="0" w:space="0" w:color="auto"/>
            <w:right w:val="none" w:sz="0" w:space="0" w:color="auto"/>
          </w:divBdr>
        </w:div>
        <w:div w:id="1882552423">
          <w:marLeft w:val="0"/>
          <w:marRight w:val="0"/>
          <w:marTop w:val="0"/>
          <w:marBottom w:val="0"/>
          <w:divBdr>
            <w:top w:val="none" w:sz="0" w:space="0" w:color="auto"/>
            <w:left w:val="none" w:sz="0" w:space="0" w:color="auto"/>
            <w:bottom w:val="none" w:sz="0" w:space="0" w:color="auto"/>
            <w:right w:val="none" w:sz="0" w:space="0" w:color="auto"/>
          </w:divBdr>
        </w:div>
        <w:div w:id="1096442793">
          <w:marLeft w:val="0"/>
          <w:marRight w:val="0"/>
          <w:marTop w:val="0"/>
          <w:marBottom w:val="0"/>
          <w:divBdr>
            <w:top w:val="none" w:sz="0" w:space="0" w:color="auto"/>
            <w:left w:val="none" w:sz="0" w:space="0" w:color="auto"/>
            <w:bottom w:val="none" w:sz="0" w:space="0" w:color="auto"/>
            <w:right w:val="none" w:sz="0" w:space="0" w:color="auto"/>
          </w:divBdr>
        </w:div>
        <w:div w:id="2045210793">
          <w:marLeft w:val="0"/>
          <w:marRight w:val="0"/>
          <w:marTop w:val="0"/>
          <w:marBottom w:val="0"/>
          <w:divBdr>
            <w:top w:val="none" w:sz="0" w:space="0" w:color="auto"/>
            <w:left w:val="none" w:sz="0" w:space="0" w:color="auto"/>
            <w:bottom w:val="none" w:sz="0" w:space="0" w:color="auto"/>
            <w:right w:val="none" w:sz="0" w:space="0" w:color="auto"/>
          </w:divBdr>
        </w:div>
        <w:div w:id="800269395">
          <w:marLeft w:val="0"/>
          <w:marRight w:val="0"/>
          <w:marTop w:val="0"/>
          <w:marBottom w:val="0"/>
          <w:divBdr>
            <w:top w:val="none" w:sz="0" w:space="0" w:color="auto"/>
            <w:left w:val="none" w:sz="0" w:space="0" w:color="auto"/>
            <w:bottom w:val="none" w:sz="0" w:space="0" w:color="auto"/>
            <w:right w:val="none" w:sz="0" w:space="0" w:color="auto"/>
          </w:divBdr>
        </w:div>
        <w:div w:id="398745714">
          <w:marLeft w:val="0"/>
          <w:marRight w:val="0"/>
          <w:marTop w:val="0"/>
          <w:marBottom w:val="0"/>
          <w:divBdr>
            <w:top w:val="none" w:sz="0" w:space="0" w:color="auto"/>
            <w:left w:val="none" w:sz="0" w:space="0" w:color="auto"/>
            <w:bottom w:val="none" w:sz="0" w:space="0" w:color="auto"/>
            <w:right w:val="none" w:sz="0" w:space="0" w:color="auto"/>
          </w:divBdr>
        </w:div>
        <w:div w:id="295181348">
          <w:marLeft w:val="0"/>
          <w:marRight w:val="0"/>
          <w:marTop w:val="0"/>
          <w:marBottom w:val="0"/>
          <w:divBdr>
            <w:top w:val="none" w:sz="0" w:space="0" w:color="auto"/>
            <w:left w:val="none" w:sz="0" w:space="0" w:color="auto"/>
            <w:bottom w:val="none" w:sz="0" w:space="0" w:color="auto"/>
            <w:right w:val="none" w:sz="0" w:space="0" w:color="auto"/>
          </w:divBdr>
        </w:div>
        <w:div w:id="480464231">
          <w:marLeft w:val="0"/>
          <w:marRight w:val="0"/>
          <w:marTop w:val="0"/>
          <w:marBottom w:val="0"/>
          <w:divBdr>
            <w:top w:val="none" w:sz="0" w:space="0" w:color="auto"/>
            <w:left w:val="none" w:sz="0" w:space="0" w:color="auto"/>
            <w:bottom w:val="none" w:sz="0" w:space="0" w:color="auto"/>
            <w:right w:val="none" w:sz="0" w:space="0" w:color="auto"/>
          </w:divBdr>
        </w:div>
        <w:div w:id="2144075786">
          <w:marLeft w:val="0"/>
          <w:marRight w:val="0"/>
          <w:marTop w:val="0"/>
          <w:marBottom w:val="0"/>
          <w:divBdr>
            <w:top w:val="none" w:sz="0" w:space="0" w:color="auto"/>
            <w:left w:val="none" w:sz="0" w:space="0" w:color="auto"/>
            <w:bottom w:val="none" w:sz="0" w:space="0" w:color="auto"/>
            <w:right w:val="none" w:sz="0" w:space="0" w:color="auto"/>
          </w:divBdr>
        </w:div>
        <w:div w:id="299265141">
          <w:marLeft w:val="0"/>
          <w:marRight w:val="0"/>
          <w:marTop w:val="0"/>
          <w:marBottom w:val="0"/>
          <w:divBdr>
            <w:top w:val="none" w:sz="0" w:space="0" w:color="auto"/>
            <w:left w:val="none" w:sz="0" w:space="0" w:color="auto"/>
            <w:bottom w:val="none" w:sz="0" w:space="0" w:color="auto"/>
            <w:right w:val="none" w:sz="0" w:space="0" w:color="auto"/>
          </w:divBdr>
        </w:div>
        <w:div w:id="2022975527">
          <w:marLeft w:val="0"/>
          <w:marRight w:val="0"/>
          <w:marTop w:val="0"/>
          <w:marBottom w:val="0"/>
          <w:divBdr>
            <w:top w:val="none" w:sz="0" w:space="0" w:color="auto"/>
            <w:left w:val="none" w:sz="0" w:space="0" w:color="auto"/>
            <w:bottom w:val="none" w:sz="0" w:space="0" w:color="auto"/>
            <w:right w:val="none" w:sz="0" w:space="0" w:color="auto"/>
          </w:divBdr>
        </w:div>
        <w:div w:id="2000310432">
          <w:marLeft w:val="0"/>
          <w:marRight w:val="0"/>
          <w:marTop w:val="0"/>
          <w:marBottom w:val="0"/>
          <w:divBdr>
            <w:top w:val="none" w:sz="0" w:space="0" w:color="auto"/>
            <w:left w:val="none" w:sz="0" w:space="0" w:color="auto"/>
            <w:bottom w:val="none" w:sz="0" w:space="0" w:color="auto"/>
            <w:right w:val="none" w:sz="0" w:space="0" w:color="auto"/>
          </w:divBdr>
        </w:div>
        <w:div w:id="638536397">
          <w:marLeft w:val="0"/>
          <w:marRight w:val="0"/>
          <w:marTop w:val="0"/>
          <w:marBottom w:val="0"/>
          <w:divBdr>
            <w:top w:val="none" w:sz="0" w:space="0" w:color="auto"/>
            <w:left w:val="none" w:sz="0" w:space="0" w:color="auto"/>
            <w:bottom w:val="none" w:sz="0" w:space="0" w:color="auto"/>
            <w:right w:val="none" w:sz="0" w:space="0" w:color="auto"/>
          </w:divBdr>
        </w:div>
        <w:div w:id="1216310900">
          <w:marLeft w:val="0"/>
          <w:marRight w:val="0"/>
          <w:marTop w:val="0"/>
          <w:marBottom w:val="0"/>
          <w:divBdr>
            <w:top w:val="none" w:sz="0" w:space="0" w:color="auto"/>
            <w:left w:val="none" w:sz="0" w:space="0" w:color="auto"/>
            <w:bottom w:val="none" w:sz="0" w:space="0" w:color="auto"/>
            <w:right w:val="none" w:sz="0" w:space="0" w:color="auto"/>
          </w:divBdr>
        </w:div>
        <w:div w:id="2007853381">
          <w:marLeft w:val="0"/>
          <w:marRight w:val="0"/>
          <w:marTop w:val="0"/>
          <w:marBottom w:val="0"/>
          <w:divBdr>
            <w:top w:val="none" w:sz="0" w:space="0" w:color="auto"/>
            <w:left w:val="none" w:sz="0" w:space="0" w:color="auto"/>
            <w:bottom w:val="none" w:sz="0" w:space="0" w:color="auto"/>
            <w:right w:val="none" w:sz="0" w:space="0" w:color="auto"/>
          </w:divBdr>
        </w:div>
        <w:div w:id="673652106">
          <w:marLeft w:val="0"/>
          <w:marRight w:val="0"/>
          <w:marTop w:val="0"/>
          <w:marBottom w:val="0"/>
          <w:divBdr>
            <w:top w:val="none" w:sz="0" w:space="0" w:color="auto"/>
            <w:left w:val="none" w:sz="0" w:space="0" w:color="auto"/>
            <w:bottom w:val="none" w:sz="0" w:space="0" w:color="auto"/>
            <w:right w:val="none" w:sz="0" w:space="0" w:color="auto"/>
          </w:divBdr>
        </w:div>
        <w:div w:id="1380789720">
          <w:marLeft w:val="0"/>
          <w:marRight w:val="0"/>
          <w:marTop w:val="0"/>
          <w:marBottom w:val="0"/>
          <w:divBdr>
            <w:top w:val="none" w:sz="0" w:space="0" w:color="auto"/>
            <w:left w:val="none" w:sz="0" w:space="0" w:color="auto"/>
            <w:bottom w:val="none" w:sz="0" w:space="0" w:color="auto"/>
            <w:right w:val="none" w:sz="0" w:space="0" w:color="auto"/>
          </w:divBdr>
        </w:div>
        <w:div w:id="1227837340">
          <w:marLeft w:val="0"/>
          <w:marRight w:val="0"/>
          <w:marTop w:val="0"/>
          <w:marBottom w:val="0"/>
          <w:divBdr>
            <w:top w:val="none" w:sz="0" w:space="0" w:color="auto"/>
            <w:left w:val="none" w:sz="0" w:space="0" w:color="auto"/>
            <w:bottom w:val="none" w:sz="0" w:space="0" w:color="auto"/>
            <w:right w:val="none" w:sz="0" w:space="0" w:color="auto"/>
          </w:divBdr>
        </w:div>
        <w:div w:id="1170098131">
          <w:marLeft w:val="0"/>
          <w:marRight w:val="0"/>
          <w:marTop w:val="0"/>
          <w:marBottom w:val="0"/>
          <w:divBdr>
            <w:top w:val="none" w:sz="0" w:space="0" w:color="auto"/>
            <w:left w:val="none" w:sz="0" w:space="0" w:color="auto"/>
            <w:bottom w:val="none" w:sz="0" w:space="0" w:color="auto"/>
            <w:right w:val="none" w:sz="0" w:space="0" w:color="auto"/>
          </w:divBdr>
        </w:div>
        <w:div w:id="84696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di.lv/lv/iepirkumi/" TargetMode="External"/><Relationship Id="rId4" Type="http://schemas.microsoft.com/office/2007/relationships/stylesWithEffects" Target="stylesWithEffects.xml"/><Relationship Id="rId9" Type="http://schemas.openxmlformats.org/officeDocument/2006/relationships/hyperlink" Target="http://edi.lv/lv/iepirk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977E2-D3A7-4A24-BCEA-155644036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6949</Words>
  <Characters>3961</Characters>
  <Application>Microsoft Office Word</Application>
  <DocSecurity>0</DocSecurity>
  <Lines>33</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Vineta Klavina</dc:creator>
  <cp:lastModifiedBy>Diāna</cp:lastModifiedBy>
  <cp:revision>2</cp:revision>
  <cp:lastPrinted>2017-09-29T12:33:00Z</cp:lastPrinted>
  <dcterms:created xsi:type="dcterms:W3CDTF">2017-09-29T12:35:00Z</dcterms:created>
  <dcterms:modified xsi:type="dcterms:W3CDTF">2017-09-29T12:35:00Z</dcterms:modified>
</cp:coreProperties>
</file>